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09" w:rsidRPr="003E1282" w:rsidRDefault="00867B09" w:rsidP="00867B09">
      <w:pPr>
        <w:jc w:val="center"/>
        <w:rPr>
          <w:bCs/>
        </w:rPr>
      </w:pPr>
      <w:r w:rsidRPr="003E1282">
        <w:rPr>
          <w:bCs/>
        </w:rPr>
        <w:t>РОССИЙСКАЯ ФЕДЕРАЦИЯ</w:t>
      </w:r>
    </w:p>
    <w:p w:rsidR="00867B09" w:rsidRPr="003E1282" w:rsidRDefault="00867B09" w:rsidP="00867B09">
      <w:pPr>
        <w:jc w:val="center"/>
        <w:rPr>
          <w:bCs/>
        </w:rPr>
      </w:pPr>
      <w:r w:rsidRPr="003E1282">
        <w:rPr>
          <w:bCs/>
        </w:rPr>
        <w:t>ИРКУТСКАЯ ОБЛАСТЬ</w:t>
      </w:r>
    </w:p>
    <w:p w:rsidR="00867B09" w:rsidRPr="003E1282" w:rsidRDefault="00867B09" w:rsidP="00867B09">
      <w:pPr>
        <w:jc w:val="center"/>
        <w:rPr>
          <w:bCs/>
        </w:rPr>
      </w:pPr>
      <w:r w:rsidRPr="003E1282">
        <w:rPr>
          <w:bCs/>
        </w:rPr>
        <w:t>НИЖНЕУДИНСКИЙ РАЙОН</w:t>
      </w:r>
    </w:p>
    <w:p w:rsidR="00867B09" w:rsidRPr="003E1282" w:rsidRDefault="00867B09" w:rsidP="00867B09">
      <w:pPr>
        <w:jc w:val="center"/>
        <w:rPr>
          <w:bCs/>
        </w:rPr>
      </w:pPr>
    </w:p>
    <w:p w:rsidR="00867B09" w:rsidRPr="003E1282" w:rsidRDefault="00867B09" w:rsidP="00867B09">
      <w:pPr>
        <w:jc w:val="center"/>
        <w:rPr>
          <w:bCs/>
        </w:rPr>
      </w:pPr>
      <w:r w:rsidRPr="003E1282">
        <w:rPr>
          <w:bCs/>
        </w:rPr>
        <w:t>ДУМА</w:t>
      </w:r>
    </w:p>
    <w:p w:rsidR="00867B09" w:rsidRPr="003E1282" w:rsidRDefault="00867B09" w:rsidP="00867B09">
      <w:pPr>
        <w:jc w:val="center"/>
        <w:rPr>
          <w:bCs/>
        </w:rPr>
      </w:pPr>
      <w:r w:rsidRPr="003E1282">
        <w:rPr>
          <w:bCs/>
        </w:rPr>
        <w:t>ШУМСКОГО МУНИЦИПАЛЬНОГО ОБРАЗОВАНИЯ –</w:t>
      </w:r>
    </w:p>
    <w:p w:rsidR="00867B09" w:rsidRPr="003E1282" w:rsidRDefault="00867B09" w:rsidP="00867B09">
      <w:pPr>
        <w:jc w:val="center"/>
        <w:rPr>
          <w:bCs/>
        </w:rPr>
      </w:pPr>
      <w:r w:rsidRPr="003E1282">
        <w:rPr>
          <w:bCs/>
        </w:rPr>
        <w:t>ГОРОДСКОГО ПОСЕЛЕНИЯ</w:t>
      </w:r>
    </w:p>
    <w:p w:rsidR="00867B09" w:rsidRPr="003E1282" w:rsidRDefault="00867B09" w:rsidP="00867B09">
      <w:pPr>
        <w:jc w:val="center"/>
        <w:rPr>
          <w:bCs/>
        </w:rPr>
      </w:pPr>
    </w:p>
    <w:p w:rsidR="00867B09" w:rsidRPr="003E1282" w:rsidRDefault="00867B09" w:rsidP="00867B09">
      <w:pPr>
        <w:jc w:val="center"/>
        <w:rPr>
          <w:bCs/>
        </w:rPr>
      </w:pPr>
      <w:proofErr w:type="gramStart"/>
      <w:r w:rsidRPr="003E1282">
        <w:rPr>
          <w:bCs/>
        </w:rPr>
        <w:t>Р</w:t>
      </w:r>
      <w:proofErr w:type="gramEnd"/>
      <w:r w:rsidRPr="003E1282">
        <w:rPr>
          <w:bCs/>
        </w:rPr>
        <w:t xml:space="preserve"> Е Ш Е Н И Е</w:t>
      </w:r>
    </w:p>
    <w:p w:rsidR="00867B09" w:rsidRPr="003E1282" w:rsidRDefault="00867B09" w:rsidP="00867B09">
      <w:pPr>
        <w:jc w:val="center"/>
        <w:rPr>
          <w:bCs/>
        </w:rPr>
      </w:pPr>
      <w:r w:rsidRPr="003E1282">
        <w:rPr>
          <w:bCs/>
        </w:rPr>
        <w:t xml:space="preserve">*   *   *   *   *   *   *   *   *   *   *   *   *   *   *   *   *   *   *   *   *   *   *   *   *   *   *   *   *      *   *   *   </w:t>
      </w:r>
    </w:p>
    <w:p w:rsidR="00867B09" w:rsidRDefault="003E1282" w:rsidP="003E1282">
      <w:pPr>
        <w:rPr>
          <w:bCs/>
        </w:rPr>
      </w:pPr>
      <w:proofErr w:type="spellStart"/>
      <w:r w:rsidRPr="003E1282">
        <w:rPr>
          <w:bCs/>
        </w:rPr>
        <w:t>Нижнеудинский</w:t>
      </w:r>
      <w:proofErr w:type="spellEnd"/>
      <w:r w:rsidRPr="003E1282">
        <w:rPr>
          <w:bCs/>
        </w:rPr>
        <w:t xml:space="preserve"> район, р. п. Шумский, ул. </w:t>
      </w:r>
      <w:proofErr w:type="gramStart"/>
      <w:r w:rsidRPr="003E1282">
        <w:rPr>
          <w:bCs/>
        </w:rPr>
        <w:t>Заозерная</w:t>
      </w:r>
      <w:proofErr w:type="gramEnd"/>
      <w:r w:rsidRPr="003E1282">
        <w:rPr>
          <w:bCs/>
        </w:rPr>
        <w:t xml:space="preserve">, 2                     </w:t>
      </w:r>
      <w:r w:rsidR="006768A6">
        <w:rPr>
          <w:bCs/>
        </w:rPr>
        <w:t xml:space="preserve">     </w:t>
      </w:r>
      <w:r w:rsidRPr="003E1282">
        <w:rPr>
          <w:bCs/>
        </w:rPr>
        <w:t xml:space="preserve">тел.: </w:t>
      </w:r>
      <w:r w:rsidR="006768A6">
        <w:rPr>
          <w:bCs/>
        </w:rPr>
        <w:t>8 (39557)</w:t>
      </w:r>
      <w:r w:rsidRPr="003E1282">
        <w:rPr>
          <w:bCs/>
        </w:rPr>
        <w:t>7-08-96</w:t>
      </w:r>
    </w:p>
    <w:p w:rsidR="006768A6" w:rsidRPr="00A02ECA" w:rsidRDefault="003E1282" w:rsidP="006768A6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="00F16C6C">
        <w:rPr>
          <w:bCs/>
        </w:rPr>
        <w:t xml:space="preserve">                             </w:t>
      </w:r>
      <w:r>
        <w:rPr>
          <w:bCs/>
        </w:rPr>
        <w:t xml:space="preserve"> </w:t>
      </w:r>
      <w:r w:rsidR="006768A6">
        <w:rPr>
          <w:bCs/>
        </w:rPr>
        <w:t xml:space="preserve"> </w:t>
      </w:r>
      <w:r>
        <w:rPr>
          <w:bCs/>
        </w:rPr>
        <w:t>8-950-087-78-60</w:t>
      </w:r>
      <w:r w:rsidR="006768A6" w:rsidRPr="00A02ECA">
        <w:rPr>
          <w:bCs/>
        </w:rPr>
        <w:t xml:space="preserve">                        </w:t>
      </w:r>
      <w:r w:rsidR="006768A6">
        <w:rPr>
          <w:bCs/>
          <w:lang w:val="en-US"/>
        </w:rPr>
        <w:t>E</w:t>
      </w:r>
      <w:r w:rsidR="006768A6" w:rsidRPr="00A02ECA">
        <w:rPr>
          <w:bCs/>
        </w:rPr>
        <w:t>-</w:t>
      </w:r>
      <w:r w:rsidR="006768A6">
        <w:rPr>
          <w:bCs/>
          <w:lang w:val="en-US"/>
        </w:rPr>
        <w:t>mail</w:t>
      </w:r>
      <w:r w:rsidR="006768A6">
        <w:rPr>
          <w:bCs/>
        </w:rPr>
        <w:t>:shumskoemo@rambler.ru</w:t>
      </w:r>
    </w:p>
    <w:p w:rsidR="0046508F" w:rsidRPr="003E1282" w:rsidRDefault="003E1282" w:rsidP="00867B09">
      <w:pPr>
        <w:rPr>
          <w:bCs/>
        </w:rPr>
      </w:pPr>
      <w:r>
        <w:rPr>
          <w:bCs/>
        </w:rPr>
        <w:t>от «</w:t>
      </w:r>
      <w:r w:rsidR="00A02ECA">
        <w:rPr>
          <w:bCs/>
          <w:lang w:val="en-US"/>
        </w:rPr>
        <w:t>03</w:t>
      </w:r>
      <w:r w:rsidR="00A02ECA">
        <w:rPr>
          <w:bCs/>
        </w:rPr>
        <w:t>» сентя</w:t>
      </w:r>
      <w:r w:rsidR="00FD4585">
        <w:rPr>
          <w:bCs/>
        </w:rPr>
        <w:t>бря</w:t>
      </w:r>
      <w:r w:rsidR="00EA4C5A">
        <w:rPr>
          <w:bCs/>
        </w:rPr>
        <w:t xml:space="preserve"> </w:t>
      </w:r>
      <w:r w:rsidR="00FD4585">
        <w:rPr>
          <w:bCs/>
        </w:rPr>
        <w:t>2018</w:t>
      </w:r>
      <w:r w:rsidR="00867B09" w:rsidRPr="003E1282">
        <w:rPr>
          <w:bCs/>
        </w:rPr>
        <w:t xml:space="preserve"> г. </w:t>
      </w:r>
      <w:r>
        <w:rPr>
          <w:bCs/>
        </w:rPr>
        <w:t xml:space="preserve">     </w:t>
      </w:r>
      <w:r w:rsidR="00A02ECA">
        <w:rPr>
          <w:bCs/>
        </w:rPr>
        <w:t xml:space="preserve">                          </w:t>
      </w:r>
      <w:r w:rsidR="00FD4585">
        <w:rPr>
          <w:bCs/>
        </w:rPr>
        <w:t>№</w:t>
      </w:r>
      <w:r w:rsidR="00A02ECA">
        <w:rPr>
          <w:bCs/>
        </w:rPr>
        <w:t>39</w:t>
      </w:r>
    </w:p>
    <w:p w:rsidR="00867B09" w:rsidRPr="003E1282" w:rsidRDefault="00867B09" w:rsidP="00867B09">
      <w:pPr>
        <w:jc w:val="center"/>
        <w:rPr>
          <w:bCs/>
        </w:rPr>
      </w:pPr>
    </w:p>
    <w:p w:rsidR="006768A6" w:rsidRDefault="00FD4585" w:rsidP="00FD4585">
      <w:pPr>
        <w:pStyle w:val="ConsPlusTitle"/>
        <w:widowControl/>
        <w:jc w:val="both"/>
        <w:rPr>
          <w:b w:val="0"/>
        </w:rPr>
      </w:pPr>
      <w:r>
        <w:rPr>
          <w:b w:val="0"/>
        </w:rPr>
        <w:t>«</w:t>
      </w:r>
      <w:r w:rsidRPr="00CA22AA">
        <w:rPr>
          <w:b w:val="0"/>
        </w:rPr>
        <w:t xml:space="preserve">Об утверждении программы </w:t>
      </w:r>
      <w:r>
        <w:rPr>
          <w:b w:val="0"/>
        </w:rPr>
        <w:t xml:space="preserve">комплексного развития </w:t>
      </w:r>
      <w:r w:rsidR="006768A6">
        <w:rPr>
          <w:b w:val="0"/>
        </w:rPr>
        <w:t>систем</w:t>
      </w:r>
    </w:p>
    <w:p w:rsidR="006768A6" w:rsidRDefault="00FD4585" w:rsidP="00FD4585">
      <w:pPr>
        <w:pStyle w:val="ConsPlusTitle"/>
        <w:widowControl/>
        <w:jc w:val="both"/>
        <w:rPr>
          <w:b w:val="0"/>
        </w:rPr>
      </w:pPr>
      <w:r>
        <w:rPr>
          <w:b w:val="0"/>
        </w:rPr>
        <w:t>социальной инфраструктуры Шумск</w:t>
      </w:r>
      <w:r w:rsidR="00F16C6C">
        <w:rPr>
          <w:b w:val="0"/>
        </w:rPr>
        <w:t xml:space="preserve">ого городского поселения </w:t>
      </w:r>
    </w:p>
    <w:p w:rsidR="00FD4585" w:rsidRDefault="00F16C6C" w:rsidP="00FD4585">
      <w:pPr>
        <w:pStyle w:val="ConsPlusTitle"/>
        <w:widowControl/>
        <w:jc w:val="both"/>
        <w:rPr>
          <w:b w:val="0"/>
        </w:rPr>
      </w:pPr>
      <w:r>
        <w:rPr>
          <w:b w:val="0"/>
        </w:rPr>
        <w:t>на 2019-2023</w:t>
      </w:r>
      <w:r w:rsidR="00FD4585">
        <w:rPr>
          <w:b w:val="0"/>
        </w:rPr>
        <w:t xml:space="preserve"> годы и с перспективой до 2032 года»</w:t>
      </w:r>
    </w:p>
    <w:p w:rsidR="00FD4585" w:rsidRPr="00CA22AA" w:rsidRDefault="00FD4585" w:rsidP="00FD4585">
      <w:pPr>
        <w:pStyle w:val="ConsPlusTitle"/>
        <w:widowControl/>
        <w:jc w:val="both"/>
        <w:rPr>
          <w:b w:val="0"/>
        </w:rPr>
      </w:pPr>
    </w:p>
    <w:p w:rsidR="0046508F" w:rsidRDefault="00FD4585" w:rsidP="00FD4585">
      <w:pPr>
        <w:rPr>
          <w:b/>
          <w:bCs/>
        </w:rPr>
      </w:pPr>
      <w:r>
        <w:rPr>
          <w:bCs/>
        </w:rPr>
        <w:t xml:space="preserve"> </w:t>
      </w:r>
    </w:p>
    <w:p w:rsidR="00FD4585" w:rsidRDefault="00FD4585" w:rsidP="00F16C6C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Р</w:t>
      </w:r>
      <w:r w:rsidRPr="00CA22AA">
        <w:rPr>
          <w:b w:val="0"/>
        </w:rPr>
        <w:t xml:space="preserve">уководствуясь </w:t>
      </w:r>
      <w:hyperlink r:id="rId5" w:history="1">
        <w:r w:rsidRPr="00CA22AA">
          <w:rPr>
            <w:b w:val="0"/>
          </w:rPr>
          <w:t>ст</w:t>
        </w:r>
        <w:r>
          <w:rPr>
            <w:b w:val="0"/>
          </w:rPr>
          <w:t xml:space="preserve">. 26 </w:t>
        </w:r>
      </w:hyperlink>
      <w:r>
        <w:rPr>
          <w:b w:val="0"/>
        </w:rPr>
        <w:t xml:space="preserve">Градостроительного кодекса РФ, </w:t>
      </w:r>
      <w:r w:rsidRPr="00CA22AA">
        <w:rPr>
          <w:b w:val="0"/>
        </w:rPr>
        <w:t>Федеральн</w:t>
      </w:r>
      <w:r>
        <w:rPr>
          <w:b w:val="0"/>
        </w:rPr>
        <w:t>ым</w:t>
      </w:r>
      <w:r w:rsidRPr="00CA22AA">
        <w:rPr>
          <w:b w:val="0"/>
        </w:rPr>
        <w:t xml:space="preserve"> закон</w:t>
      </w:r>
      <w:r>
        <w:rPr>
          <w:b w:val="0"/>
        </w:rPr>
        <w:t>ом</w:t>
      </w:r>
      <w:r w:rsidRPr="00CA22AA">
        <w:rPr>
          <w:b w:val="0"/>
        </w:rPr>
        <w:t xml:space="preserve"> №131-ФЗ от 06.10.2003 года "Об общих принципах организации местного самоуправления в Российской Федерации", постановлением Правительства </w:t>
      </w:r>
      <w:r>
        <w:rPr>
          <w:b w:val="0"/>
        </w:rPr>
        <w:t>Российской Федерации от 01</w:t>
      </w:r>
      <w:r w:rsidRPr="00CA22AA">
        <w:rPr>
          <w:b w:val="0"/>
        </w:rPr>
        <w:t>.1</w:t>
      </w:r>
      <w:r>
        <w:rPr>
          <w:b w:val="0"/>
        </w:rPr>
        <w:t>0</w:t>
      </w:r>
      <w:r w:rsidRPr="00CA22AA">
        <w:rPr>
          <w:b w:val="0"/>
        </w:rPr>
        <w:t>.201</w:t>
      </w:r>
      <w:r>
        <w:rPr>
          <w:b w:val="0"/>
        </w:rPr>
        <w:t xml:space="preserve">5 </w:t>
      </w:r>
      <w:r w:rsidRPr="00CA22AA">
        <w:rPr>
          <w:b w:val="0"/>
        </w:rPr>
        <w:t xml:space="preserve">г. № </w:t>
      </w:r>
      <w:r>
        <w:rPr>
          <w:b w:val="0"/>
        </w:rPr>
        <w:t>1050</w:t>
      </w:r>
      <w:r w:rsidRPr="00CA22AA">
        <w:rPr>
          <w:b w:val="0"/>
        </w:rPr>
        <w:t xml:space="preserve"> «Об утверждении </w:t>
      </w:r>
      <w:r>
        <w:rPr>
          <w:b w:val="0"/>
        </w:rPr>
        <w:t>требований к программам комплексного развития социальной инфраструктуры поселений, городских округов</w:t>
      </w:r>
      <w:r w:rsidRPr="00CA22AA">
        <w:rPr>
          <w:b w:val="0"/>
        </w:rPr>
        <w:t xml:space="preserve">», Уставом Шумского муниципального образования, администрация </w:t>
      </w:r>
      <w:r>
        <w:rPr>
          <w:b w:val="0"/>
        </w:rPr>
        <w:t xml:space="preserve">Шумского </w:t>
      </w:r>
      <w:r w:rsidRPr="00CA22AA">
        <w:rPr>
          <w:b w:val="0"/>
        </w:rPr>
        <w:t xml:space="preserve">муниципального </w:t>
      </w:r>
      <w:r>
        <w:rPr>
          <w:b w:val="0"/>
        </w:rPr>
        <w:t xml:space="preserve">образования </w:t>
      </w:r>
    </w:p>
    <w:p w:rsidR="00FD4585" w:rsidRPr="00CA22AA" w:rsidRDefault="00FD4585" w:rsidP="00FD4585">
      <w:pPr>
        <w:pStyle w:val="ConsPlusTitle"/>
        <w:widowControl/>
        <w:ind w:firstLine="540"/>
        <w:jc w:val="both"/>
        <w:rPr>
          <w:b w:val="0"/>
        </w:rPr>
      </w:pPr>
    </w:p>
    <w:p w:rsidR="00FD4585" w:rsidRPr="00CA22AA" w:rsidRDefault="00FD4585" w:rsidP="00FD4585">
      <w:pPr>
        <w:pStyle w:val="ConsPlusTitle"/>
        <w:widowControl/>
        <w:ind w:firstLine="540"/>
        <w:jc w:val="center"/>
        <w:rPr>
          <w:b w:val="0"/>
        </w:rPr>
      </w:pPr>
      <w:r w:rsidRPr="00CA22AA">
        <w:rPr>
          <w:b w:val="0"/>
        </w:rPr>
        <w:t>ПОСТАНОВЛЯЕТ:</w:t>
      </w:r>
    </w:p>
    <w:p w:rsidR="00FD4585" w:rsidRPr="00CA22AA" w:rsidRDefault="00FD4585" w:rsidP="00FD4585">
      <w:pPr>
        <w:pStyle w:val="ConsPlusTitle"/>
        <w:widowControl/>
        <w:ind w:firstLine="540"/>
        <w:jc w:val="both"/>
        <w:rPr>
          <w:b w:val="0"/>
        </w:rPr>
      </w:pPr>
    </w:p>
    <w:p w:rsidR="00FD4585" w:rsidRPr="00CA22AA" w:rsidRDefault="00FD4585" w:rsidP="00F16C6C">
      <w:pPr>
        <w:pStyle w:val="ConsPlusTitle"/>
        <w:widowControl/>
        <w:ind w:firstLine="540"/>
        <w:jc w:val="both"/>
        <w:rPr>
          <w:b w:val="0"/>
        </w:rPr>
      </w:pPr>
      <w:r w:rsidRPr="00CA22AA">
        <w:rPr>
          <w:b w:val="0"/>
        </w:rPr>
        <w:t xml:space="preserve">1. Утвердить </w:t>
      </w:r>
      <w:r w:rsidRPr="00117783">
        <w:rPr>
          <w:b w:val="0"/>
        </w:rPr>
        <w:t>программ</w:t>
      </w:r>
      <w:r>
        <w:rPr>
          <w:b w:val="0"/>
        </w:rPr>
        <w:t>у</w:t>
      </w:r>
      <w:r w:rsidRPr="00117783">
        <w:rPr>
          <w:b w:val="0"/>
        </w:rPr>
        <w:t xml:space="preserve"> комплексного развития </w:t>
      </w:r>
      <w:r>
        <w:rPr>
          <w:b w:val="0"/>
        </w:rPr>
        <w:t xml:space="preserve">социальной </w:t>
      </w:r>
      <w:r w:rsidRPr="00117783">
        <w:rPr>
          <w:b w:val="0"/>
        </w:rPr>
        <w:t>инфраструктуры Шумск</w:t>
      </w:r>
      <w:r w:rsidR="00F16C6C">
        <w:rPr>
          <w:b w:val="0"/>
        </w:rPr>
        <w:t>ого городского поселения на 2019-2023</w:t>
      </w:r>
      <w:r w:rsidRPr="00117783">
        <w:rPr>
          <w:b w:val="0"/>
        </w:rPr>
        <w:t xml:space="preserve"> годы и с перспективой до 2032 года</w:t>
      </w:r>
      <w:r w:rsidR="006768A6">
        <w:rPr>
          <w:b w:val="0"/>
        </w:rPr>
        <w:t>.</w:t>
      </w:r>
    </w:p>
    <w:p w:rsidR="00FD4585" w:rsidRPr="00CA22AA" w:rsidRDefault="00FD4585" w:rsidP="00F16C6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22AA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«Вестник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Шумского городского поселения</w:t>
      </w:r>
      <w:r w:rsidRPr="00CA22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Шумского муниципального образования.</w:t>
      </w:r>
    </w:p>
    <w:p w:rsidR="00FD4585" w:rsidRPr="00CA22AA" w:rsidRDefault="00FD4585" w:rsidP="00F16C6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22AA">
        <w:rPr>
          <w:rFonts w:ascii="Times New Roman" w:hAnsi="Times New Roman" w:cs="Times New Roman"/>
          <w:sz w:val="24"/>
          <w:szCs w:val="24"/>
        </w:rPr>
        <w:t>.</w:t>
      </w:r>
      <w:r w:rsidR="00F16C6C">
        <w:rPr>
          <w:rFonts w:ascii="Times New Roman" w:hAnsi="Times New Roman" w:cs="Times New Roman"/>
          <w:sz w:val="24"/>
          <w:szCs w:val="24"/>
        </w:rPr>
        <w:t xml:space="preserve">  </w:t>
      </w:r>
      <w:r w:rsidRPr="00CA2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22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D4585" w:rsidRDefault="00FD4585" w:rsidP="00FD458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585" w:rsidRDefault="00FD4585" w:rsidP="00FD458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585" w:rsidRPr="00CA22AA" w:rsidRDefault="00FD4585" w:rsidP="00FD458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585" w:rsidRDefault="00FD4585" w:rsidP="00FD4585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FD4585" w:rsidRPr="00CA22AA" w:rsidRDefault="00FD4585" w:rsidP="00FD4585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 Кузьменкова</w:t>
      </w:r>
    </w:p>
    <w:p w:rsidR="00FD4585" w:rsidRPr="00F16C6C" w:rsidRDefault="00FD4585" w:rsidP="00F16C6C">
      <w:pPr>
        <w:jc w:val="both"/>
        <w:rPr>
          <w:b/>
          <w:bCs/>
        </w:rPr>
      </w:pPr>
      <w:r w:rsidRPr="00CA22AA">
        <w:br w:type="page"/>
      </w:r>
      <w:r w:rsidR="0046508F">
        <w:rPr>
          <w:b/>
          <w:bCs/>
        </w:rPr>
        <w:lastRenderedPageBreak/>
        <w:t xml:space="preserve">    </w:t>
      </w:r>
      <w:r w:rsidR="00F16C6C">
        <w:rPr>
          <w:b/>
          <w:bCs/>
        </w:rPr>
        <w:t xml:space="preserve">                                                                                                      </w:t>
      </w:r>
      <w:r w:rsidRPr="00FD4585">
        <w:t>Утверждена</w:t>
      </w:r>
    </w:p>
    <w:p w:rsidR="00FD4585" w:rsidRPr="00FD4585" w:rsidRDefault="00F16C6C" w:rsidP="00FD4585">
      <w:pPr>
        <w:autoSpaceDE w:val="0"/>
        <w:autoSpaceDN w:val="0"/>
        <w:adjustRightInd w:val="0"/>
        <w:ind w:left="5664" w:firstLine="708"/>
        <w:jc w:val="both"/>
      </w:pPr>
      <w:r>
        <w:t xml:space="preserve">Решением Думы </w:t>
      </w:r>
      <w:r w:rsidR="00FD4585" w:rsidRPr="00FD4585">
        <w:t xml:space="preserve"> Шумского  </w:t>
      </w:r>
    </w:p>
    <w:p w:rsidR="00FD4585" w:rsidRPr="00FD4585" w:rsidRDefault="00FD4585" w:rsidP="00FD4585">
      <w:pPr>
        <w:autoSpaceDE w:val="0"/>
        <w:autoSpaceDN w:val="0"/>
        <w:adjustRightInd w:val="0"/>
        <w:ind w:left="6372"/>
        <w:jc w:val="both"/>
      </w:pPr>
      <w:r w:rsidRPr="00FD4585">
        <w:t>муниципального образования</w:t>
      </w:r>
    </w:p>
    <w:p w:rsidR="00FD4585" w:rsidRPr="00F16C6C" w:rsidRDefault="00A02ECA" w:rsidP="00FD4585">
      <w:pPr>
        <w:tabs>
          <w:tab w:val="left" w:pos="5948"/>
          <w:tab w:val="right" w:pos="9920"/>
        </w:tabs>
        <w:autoSpaceDE w:val="0"/>
        <w:autoSpaceDN w:val="0"/>
        <w:adjustRightInd w:val="0"/>
        <w:jc w:val="both"/>
      </w:pPr>
      <w:r>
        <w:tab/>
        <w:t xml:space="preserve">        «03</w:t>
      </w:r>
      <w:r w:rsidR="00F16C6C">
        <w:t xml:space="preserve"> </w:t>
      </w:r>
      <w:r w:rsidR="00FD4585" w:rsidRPr="00F16C6C">
        <w:t>»</w:t>
      </w:r>
      <w:r>
        <w:t xml:space="preserve"> сент</w:t>
      </w:r>
      <w:r w:rsidR="00F16C6C" w:rsidRPr="00F16C6C">
        <w:t>ября  2018</w:t>
      </w:r>
      <w:r w:rsidR="00FD4585" w:rsidRPr="00F16C6C">
        <w:t xml:space="preserve"> г. № </w:t>
      </w:r>
      <w:r>
        <w:t>39</w:t>
      </w:r>
      <w:r w:rsidR="00F16C6C">
        <w:t xml:space="preserve">  </w:t>
      </w:r>
    </w:p>
    <w:p w:rsidR="00FD4585" w:rsidRPr="00F16C6C" w:rsidRDefault="00FD4585" w:rsidP="00FD4585">
      <w:pPr>
        <w:autoSpaceDE w:val="0"/>
        <w:autoSpaceDN w:val="0"/>
        <w:adjustRightInd w:val="0"/>
        <w:jc w:val="center"/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</w:rPr>
      </w:pPr>
      <w:r w:rsidRPr="00FD4585">
        <w:rPr>
          <w:b/>
        </w:rPr>
        <w:t xml:space="preserve">ПРОГРАММА 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</w:pPr>
      <w:r w:rsidRPr="00FD4585">
        <w:rPr>
          <w:b/>
        </w:rPr>
        <w:t>КОМПЛЕКСНОГО РАЗВИТИЯ СОЦИАЛЬНОЙ ИНФРАСТРУКТУРЫ ШУМСК</w:t>
      </w:r>
      <w:r w:rsidR="00F16C6C">
        <w:rPr>
          <w:b/>
        </w:rPr>
        <w:t>ОГО ГОРОДСКОГО ПОСЕЛЕНИЯ НА 2019</w:t>
      </w:r>
      <w:r w:rsidRPr="00FD4585">
        <w:rPr>
          <w:b/>
        </w:rPr>
        <w:t>-20</w:t>
      </w:r>
      <w:r w:rsidR="00F16C6C">
        <w:rPr>
          <w:b/>
        </w:rPr>
        <w:t>23</w:t>
      </w:r>
      <w:r w:rsidRPr="00FD4585">
        <w:rPr>
          <w:b/>
        </w:rPr>
        <w:t xml:space="preserve"> ГОДЫ И С ПЕРСПЕКТИВОЙ ДО 2032 ГОДА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rPr>
          <w:b/>
          <w:bCs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</w:pPr>
      <w:r w:rsidRPr="00FD4585">
        <w:t xml:space="preserve">р.п. Шумский </w:t>
      </w:r>
    </w:p>
    <w:p w:rsidR="00FD4585" w:rsidRPr="00FD4585" w:rsidRDefault="00F16C6C" w:rsidP="00F16C6C">
      <w:pPr>
        <w:autoSpaceDE w:val="0"/>
        <w:autoSpaceDN w:val="0"/>
        <w:adjustRightInd w:val="0"/>
        <w:ind w:right="282"/>
        <w:jc w:val="center"/>
      </w:pPr>
      <w:r>
        <w:t>2018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D4585">
        <w:rPr>
          <w:b/>
        </w:rPr>
        <w:lastRenderedPageBreak/>
        <w:t>1. ПАСПОРТ ПРОГРАММЫ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796"/>
      </w:tblGrid>
      <w:tr w:rsidR="00FD4585" w:rsidRPr="00FD4585" w:rsidTr="00F16C6C">
        <w:tc>
          <w:tcPr>
            <w:tcW w:w="1985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ind w:left="-108"/>
            </w:pPr>
            <w:r w:rsidRPr="00FD4585">
              <w:t xml:space="preserve">Наименование Программы </w:t>
            </w:r>
          </w:p>
        </w:tc>
        <w:tc>
          <w:tcPr>
            <w:tcW w:w="7796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both"/>
            </w:pPr>
            <w:r w:rsidRPr="00FD4585">
              <w:t>Программа комплексного развития социальной инфраструктуры Шумск</w:t>
            </w:r>
            <w:r w:rsidR="006A1545">
              <w:t>ого городского поселения на 2019-2023</w:t>
            </w:r>
            <w:r w:rsidRPr="00FD4585">
              <w:t xml:space="preserve"> годы и с перспективой до 2032 года (далее – Программа)</w:t>
            </w:r>
          </w:p>
        </w:tc>
      </w:tr>
      <w:tr w:rsidR="00FD4585" w:rsidRPr="00FD4585" w:rsidTr="00F16C6C">
        <w:tc>
          <w:tcPr>
            <w:tcW w:w="1985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both"/>
            </w:pPr>
            <w:r w:rsidRPr="00FD4585">
              <w:t>Основание для разработки</w:t>
            </w:r>
          </w:p>
        </w:tc>
        <w:tc>
          <w:tcPr>
            <w:tcW w:w="7796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</w:pPr>
            <w:r w:rsidRPr="00FD4585">
              <w:t>Градостроительный кодекс РФ</w:t>
            </w:r>
          </w:p>
          <w:p w:rsidR="00FD4585" w:rsidRPr="00FD4585" w:rsidRDefault="00FD4585" w:rsidP="00FD4585">
            <w:pPr>
              <w:autoSpaceDE w:val="0"/>
              <w:autoSpaceDN w:val="0"/>
              <w:adjustRightInd w:val="0"/>
            </w:pPr>
            <w:r w:rsidRPr="00FD4585">
              <w:t>Федеральный закон №131-ФЗ от 06.10.2003 года "Об общих принципах организации местного самоуправления в Российской Федерации"</w:t>
            </w:r>
          </w:p>
        </w:tc>
      </w:tr>
      <w:tr w:rsidR="00FD4585" w:rsidRPr="00FD4585" w:rsidTr="00F16C6C">
        <w:tc>
          <w:tcPr>
            <w:tcW w:w="1985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both"/>
            </w:pPr>
            <w:r w:rsidRPr="00FD4585">
              <w:t xml:space="preserve">Заказчик </w:t>
            </w:r>
          </w:p>
        </w:tc>
        <w:tc>
          <w:tcPr>
            <w:tcW w:w="7796" w:type="dxa"/>
          </w:tcPr>
          <w:p w:rsidR="00FD4585" w:rsidRPr="00FD4585" w:rsidRDefault="00FD4585" w:rsidP="00FD4585">
            <w:r w:rsidRPr="00FD4585">
              <w:t>Администрация Шумского муниципального образования – администрация городского поселения (далее – Администрация)</w:t>
            </w:r>
          </w:p>
          <w:p w:rsidR="00FD4585" w:rsidRPr="00FD4585" w:rsidRDefault="00FD4585" w:rsidP="00FD4585">
            <w:pPr>
              <w:rPr>
                <w:b/>
              </w:rPr>
            </w:pPr>
          </w:p>
        </w:tc>
      </w:tr>
      <w:tr w:rsidR="00FD4585" w:rsidRPr="00FD4585" w:rsidTr="00F16C6C">
        <w:tc>
          <w:tcPr>
            <w:tcW w:w="1985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both"/>
            </w:pPr>
            <w:r w:rsidRPr="00FD4585">
              <w:t xml:space="preserve">Разработчик </w:t>
            </w:r>
          </w:p>
        </w:tc>
        <w:tc>
          <w:tcPr>
            <w:tcW w:w="7796" w:type="dxa"/>
          </w:tcPr>
          <w:p w:rsidR="00FD4585" w:rsidRPr="00FD4585" w:rsidRDefault="00FD4585" w:rsidP="00FD4585">
            <w:r w:rsidRPr="00FD4585">
              <w:t xml:space="preserve">Администрация Шумского муниципального образования – администрация городского поселения </w:t>
            </w:r>
          </w:p>
          <w:p w:rsidR="00FD4585" w:rsidRPr="00FD4585" w:rsidRDefault="00FD4585" w:rsidP="00FD4585">
            <w:r w:rsidRPr="00FD4585">
              <w:t xml:space="preserve">665130 Иркутская область, </w:t>
            </w:r>
            <w:proofErr w:type="spellStart"/>
            <w:r w:rsidRPr="00FD4585">
              <w:t>Нижнеудинский</w:t>
            </w:r>
            <w:proofErr w:type="spellEnd"/>
            <w:r w:rsidRPr="00FD4585">
              <w:t xml:space="preserve"> район, р.п. Шумский, ул. </w:t>
            </w:r>
            <w:proofErr w:type="gramStart"/>
            <w:r w:rsidRPr="00FD4585">
              <w:t>Заозерная</w:t>
            </w:r>
            <w:proofErr w:type="gramEnd"/>
            <w:r w:rsidRPr="00FD4585">
              <w:t>, 2</w:t>
            </w:r>
          </w:p>
        </w:tc>
      </w:tr>
      <w:tr w:rsidR="00FD4585" w:rsidRPr="00FD4585" w:rsidTr="00F16C6C">
        <w:tc>
          <w:tcPr>
            <w:tcW w:w="1985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both"/>
            </w:pPr>
            <w:r w:rsidRPr="00FD4585">
              <w:t>Цели</w:t>
            </w:r>
          </w:p>
        </w:tc>
        <w:tc>
          <w:tcPr>
            <w:tcW w:w="7796" w:type="dxa"/>
          </w:tcPr>
          <w:p w:rsidR="00FD4585" w:rsidRPr="00FD4585" w:rsidRDefault="00FD4585" w:rsidP="00FD4585">
            <w:pPr>
              <w:jc w:val="both"/>
            </w:pPr>
            <w:r w:rsidRPr="00FD4585">
              <w:t>Повышение уровня обеспечения населения поселения услугами социальной сферы в областях образования, здравоохранения, физической культуры и массового спорта и культуры</w:t>
            </w:r>
          </w:p>
        </w:tc>
      </w:tr>
      <w:tr w:rsidR="00FD4585" w:rsidRPr="00FD4585" w:rsidTr="00F16C6C">
        <w:tc>
          <w:tcPr>
            <w:tcW w:w="1985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both"/>
            </w:pPr>
            <w:r w:rsidRPr="00FD4585">
              <w:t>Задачи</w:t>
            </w:r>
          </w:p>
        </w:tc>
        <w:tc>
          <w:tcPr>
            <w:tcW w:w="7796" w:type="dxa"/>
          </w:tcPr>
          <w:p w:rsidR="00FD4585" w:rsidRPr="00FD4585" w:rsidRDefault="00FD4585" w:rsidP="00FD4585">
            <w:pPr>
              <w:jc w:val="both"/>
            </w:pPr>
            <w:r w:rsidRPr="00FD4585">
              <w:t>Развитие социальной инфраструктуры: образования, здравоохранения, культуры, физической культуры и массового спорта.</w:t>
            </w:r>
          </w:p>
          <w:p w:rsidR="00FD4585" w:rsidRPr="00FD4585" w:rsidRDefault="00FD4585" w:rsidP="00FD4585">
            <w:pPr>
              <w:jc w:val="both"/>
            </w:pPr>
            <w:r w:rsidRPr="00FD4585">
              <w:t>Ремонт объектов социальной инфраструктуры.</w:t>
            </w:r>
          </w:p>
        </w:tc>
      </w:tr>
      <w:tr w:rsidR="00FD4585" w:rsidRPr="00FD4585" w:rsidTr="00F16C6C">
        <w:tc>
          <w:tcPr>
            <w:tcW w:w="1985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both"/>
            </w:pPr>
            <w:r w:rsidRPr="00FD4585">
              <w:t>Целевые показатели (индикаторы)</w:t>
            </w:r>
          </w:p>
        </w:tc>
        <w:tc>
          <w:tcPr>
            <w:tcW w:w="7796" w:type="dxa"/>
          </w:tcPr>
          <w:p w:rsidR="00FD4585" w:rsidRPr="00FD4585" w:rsidRDefault="00FD4585" w:rsidP="00FD4585">
            <w:pPr>
              <w:jc w:val="both"/>
            </w:pPr>
            <w:r w:rsidRPr="00FD4585">
              <w:t>обеспеченность населения поселения услугами социальной инфраструктуры в областях образования, здравоохранения, физической культуры и массового спорта и культуры, состояние (процент износа) объектов социальной инфраструктуры</w:t>
            </w:r>
          </w:p>
        </w:tc>
      </w:tr>
      <w:tr w:rsidR="00FD4585" w:rsidRPr="00FD4585" w:rsidTr="00F16C6C">
        <w:tc>
          <w:tcPr>
            <w:tcW w:w="1985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</w:pPr>
            <w:r w:rsidRPr="00FD4585">
              <w:t>Сроки и этапы реализации</w:t>
            </w:r>
          </w:p>
        </w:tc>
        <w:tc>
          <w:tcPr>
            <w:tcW w:w="7796" w:type="dxa"/>
          </w:tcPr>
          <w:p w:rsidR="00FD4585" w:rsidRPr="00FD4585" w:rsidRDefault="006A1545" w:rsidP="00FD4585">
            <w:r>
              <w:t>Срок реализации Программы 2019 - 2023</w:t>
            </w:r>
            <w:r w:rsidR="00FD4585" w:rsidRPr="00FD4585">
              <w:t xml:space="preserve"> года </w:t>
            </w:r>
          </w:p>
          <w:p w:rsidR="00FD4585" w:rsidRPr="00FD4585" w:rsidRDefault="00FD4585" w:rsidP="00FD4585">
            <w:r w:rsidRPr="00FD4585">
              <w:rPr>
                <w:lang w:val="en-US"/>
              </w:rPr>
              <w:t>I</w:t>
            </w:r>
            <w:r w:rsidR="006A1545">
              <w:t xml:space="preserve"> этап 2019-2023</w:t>
            </w:r>
            <w:r w:rsidRPr="00FD4585">
              <w:t xml:space="preserve"> годы, </w:t>
            </w:r>
            <w:r w:rsidRPr="00FD4585">
              <w:rPr>
                <w:lang w:val="en-US"/>
              </w:rPr>
              <w:t>II</w:t>
            </w:r>
            <w:r w:rsidRPr="00FD4585">
              <w:t xml:space="preserve"> э</w:t>
            </w:r>
            <w:r w:rsidR="006A1545">
              <w:t>тап 2024-2028</w:t>
            </w:r>
            <w:r w:rsidRPr="00FD4585">
              <w:t xml:space="preserve"> годы, </w:t>
            </w:r>
            <w:r w:rsidRPr="00FD4585">
              <w:rPr>
                <w:lang w:val="en-US"/>
              </w:rPr>
              <w:t>III</w:t>
            </w:r>
            <w:r w:rsidR="006A1545">
              <w:t xml:space="preserve"> этап 2029</w:t>
            </w:r>
            <w:r w:rsidRPr="00FD4585">
              <w:t>-2032 годы</w:t>
            </w:r>
          </w:p>
        </w:tc>
      </w:tr>
      <w:tr w:rsidR="00FD4585" w:rsidRPr="00FD4585" w:rsidTr="00F16C6C">
        <w:tc>
          <w:tcPr>
            <w:tcW w:w="1985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</w:pPr>
            <w:r w:rsidRPr="00FD4585">
              <w:t>Основные мероприятия</w:t>
            </w:r>
          </w:p>
        </w:tc>
        <w:tc>
          <w:tcPr>
            <w:tcW w:w="7796" w:type="dxa"/>
          </w:tcPr>
          <w:p w:rsidR="00FD4585" w:rsidRPr="00FD4585" w:rsidRDefault="00FD4585" w:rsidP="00FD4585">
            <w:r w:rsidRPr="00FD4585">
              <w:t>Капитальный ремонт здания школы искусств, учреждения культуры, детского сада, текущий ремонт здания школы, спортзала, реконструкция больницы</w:t>
            </w:r>
          </w:p>
        </w:tc>
      </w:tr>
      <w:tr w:rsidR="00FD4585" w:rsidRPr="00FD4585" w:rsidTr="00F16C6C">
        <w:tc>
          <w:tcPr>
            <w:tcW w:w="1985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</w:pPr>
            <w:r w:rsidRPr="00FD4585">
              <w:t xml:space="preserve">Объёмы и источники финансирования </w:t>
            </w:r>
          </w:p>
        </w:tc>
        <w:tc>
          <w:tcPr>
            <w:tcW w:w="7796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both"/>
            </w:pPr>
            <w:r w:rsidRPr="00FD4585">
              <w:t xml:space="preserve">Финансирование Программы предусматривается за счет местного бюджета, бюджета муниципального района, областного бюджета и внебюджетные средства. </w:t>
            </w:r>
          </w:p>
          <w:p w:rsidR="00FD4585" w:rsidRPr="00FD4585" w:rsidRDefault="00FD4585" w:rsidP="00FD4585">
            <w:pPr>
              <w:jc w:val="both"/>
            </w:pPr>
            <w:r w:rsidRPr="00FD4585">
              <w:t xml:space="preserve">Общий объем финансирования Программы составляет </w:t>
            </w:r>
            <w:r w:rsidRPr="006A1545">
              <w:rPr>
                <w:color w:val="FF0000"/>
              </w:rPr>
              <w:t>97 000</w:t>
            </w:r>
            <w:r w:rsidRPr="00FD4585">
              <w:t xml:space="preserve"> тыс. рублей, в том числе местный бюджет – </w:t>
            </w:r>
            <w:r w:rsidRPr="006A1545">
              <w:rPr>
                <w:color w:val="FF0000"/>
              </w:rPr>
              <w:t>1 050</w:t>
            </w:r>
            <w:r w:rsidRPr="00FD4585">
              <w:t xml:space="preserve"> тыс. рублей, бюджет муниципального района – </w:t>
            </w:r>
            <w:r w:rsidRPr="006A1545">
              <w:rPr>
                <w:color w:val="FF0000"/>
              </w:rPr>
              <w:t>13 650</w:t>
            </w:r>
            <w:r w:rsidRPr="00FD4585">
              <w:t xml:space="preserve"> тыс. рублей, областной бюджет – </w:t>
            </w:r>
            <w:r w:rsidRPr="006A1545">
              <w:rPr>
                <w:color w:val="FF0000"/>
              </w:rPr>
              <w:t>82 300</w:t>
            </w:r>
            <w:r w:rsidRPr="00FD4585">
              <w:t xml:space="preserve"> тыс. руб.</w:t>
            </w:r>
          </w:p>
        </w:tc>
      </w:tr>
      <w:tr w:rsidR="00FD4585" w:rsidRPr="00FD4585" w:rsidTr="00F16C6C">
        <w:tc>
          <w:tcPr>
            <w:tcW w:w="1985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</w:pPr>
            <w:r w:rsidRPr="00FD4585"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both"/>
            </w:pPr>
            <w:r w:rsidRPr="00FD4585">
              <w:t>Обеспечение поселения объектами социальной инфраструктуры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</w:t>
            </w:r>
          </w:p>
        </w:tc>
      </w:tr>
    </w:tbl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>2. ХАРАКТЕРИСТИКА СУЩЕСТВУЮЩЕГО СОСТОЯНИЯ СОЦИАЛЬНОЙ ИНФРАСТРУКТУРЫ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>2.1 Описание социально-экономического состояния поселения,  сведения о градостроительной деятельности на территории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widowControl w:val="0"/>
        <w:autoSpaceDE w:val="0"/>
        <w:autoSpaceDN w:val="0"/>
        <w:adjustRightInd w:val="0"/>
        <w:ind w:firstLine="709"/>
        <w:jc w:val="both"/>
      </w:pPr>
      <w:r w:rsidRPr="00FD4585">
        <w:t xml:space="preserve">Численность населения Шумского городского поселения на 01.01.2016 г. составляет 2980 человек. В последнее время численность населения поселения сокращается. За </w:t>
      </w:r>
      <w:proofErr w:type="gramStart"/>
      <w:r w:rsidRPr="00FD4585">
        <w:t>последние</w:t>
      </w:r>
      <w:proofErr w:type="gramEnd"/>
      <w:r w:rsidRPr="00FD4585">
        <w:t xml:space="preserve"> 5 лет численность жителей поселка уменьшилась с 3091 до 2980, т.е. на 3,59 %.</w:t>
      </w:r>
    </w:p>
    <w:p w:rsidR="00FD4585" w:rsidRPr="00FD4585" w:rsidRDefault="00FD4585" w:rsidP="00FD4585">
      <w:pPr>
        <w:widowControl w:val="0"/>
        <w:autoSpaceDE w:val="0"/>
        <w:autoSpaceDN w:val="0"/>
        <w:adjustRightInd w:val="0"/>
        <w:ind w:firstLine="709"/>
        <w:jc w:val="both"/>
      </w:pPr>
      <w:r w:rsidRPr="00FD4585">
        <w:t xml:space="preserve">Количество трудоспособного населения 1609 человек, количество детей до 18 лет - 741 человек, количество пенсионеров - 630 человек. Из-за нехватки рабочих мест часть трудоспособного населения работает на выезде в других регионах вахтовым методом, </w:t>
      </w:r>
      <w:proofErr w:type="gramStart"/>
      <w:r w:rsidRPr="00FD4585">
        <w:t>или</w:t>
      </w:r>
      <w:proofErr w:type="gramEnd"/>
      <w:r w:rsidRPr="00FD4585">
        <w:t xml:space="preserve"> </w:t>
      </w:r>
      <w:r w:rsidRPr="00FD4585">
        <w:lastRenderedPageBreak/>
        <w:t xml:space="preserve">являясь временно безработными, ведут личное подсобное хозяйство. В поселении существует так называемая “скрытая занятость”. Оценить количество работников, работающих без оформления трудовых отношений с работодателем достаточно сложно. </w:t>
      </w:r>
    </w:p>
    <w:p w:rsidR="00FD4585" w:rsidRPr="00FD4585" w:rsidRDefault="00FD4585" w:rsidP="00FD4585">
      <w:pPr>
        <w:autoSpaceDE w:val="0"/>
        <w:autoSpaceDN w:val="0"/>
        <w:adjustRightInd w:val="0"/>
        <w:ind w:firstLine="708"/>
        <w:jc w:val="both"/>
      </w:pPr>
      <w:r w:rsidRPr="00FD4585">
        <w:t xml:space="preserve">В Шумском городском поселении действуют следующие </w:t>
      </w:r>
      <w:proofErr w:type="spellStart"/>
      <w:r w:rsidRPr="00FD4585">
        <w:t>социально-досуговые</w:t>
      </w:r>
      <w:proofErr w:type="spellEnd"/>
      <w:r w:rsidRPr="00FD4585">
        <w:t xml:space="preserve"> объекты:</w:t>
      </w:r>
    </w:p>
    <w:p w:rsidR="00FD4585" w:rsidRPr="00FD4585" w:rsidRDefault="00FD4585" w:rsidP="00FD4585">
      <w:pPr>
        <w:autoSpaceDE w:val="0"/>
        <w:autoSpaceDN w:val="0"/>
        <w:adjustRightInd w:val="0"/>
        <w:ind w:firstLine="708"/>
        <w:jc w:val="both"/>
      </w:pPr>
      <w:r w:rsidRPr="00FD4585">
        <w:t xml:space="preserve"> - средняя общеобразовательная школа;</w:t>
      </w:r>
    </w:p>
    <w:p w:rsidR="00FD4585" w:rsidRPr="00FD4585" w:rsidRDefault="00FD4585" w:rsidP="00FD4585">
      <w:pPr>
        <w:autoSpaceDE w:val="0"/>
        <w:autoSpaceDN w:val="0"/>
        <w:adjustRightInd w:val="0"/>
        <w:ind w:firstLine="708"/>
        <w:jc w:val="both"/>
      </w:pPr>
      <w:r w:rsidRPr="00FD4585">
        <w:t xml:space="preserve"> - школа искусств;</w:t>
      </w:r>
    </w:p>
    <w:p w:rsidR="00FD4585" w:rsidRPr="00FD4585" w:rsidRDefault="00FD4585" w:rsidP="00FD4585">
      <w:pPr>
        <w:autoSpaceDE w:val="0"/>
        <w:autoSpaceDN w:val="0"/>
        <w:adjustRightInd w:val="0"/>
        <w:ind w:firstLine="708"/>
        <w:jc w:val="both"/>
      </w:pPr>
      <w:r w:rsidRPr="00FD4585">
        <w:t xml:space="preserve"> - два детских сада;</w:t>
      </w:r>
    </w:p>
    <w:p w:rsidR="00FD4585" w:rsidRPr="00FD4585" w:rsidRDefault="00FD4585" w:rsidP="00FD4585">
      <w:pPr>
        <w:autoSpaceDE w:val="0"/>
        <w:autoSpaceDN w:val="0"/>
        <w:adjustRightInd w:val="0"/>
        <w:ind w:firstLine="708"/>
        <w:jc w:val="both"/>
      </w:pPr>
      <w:r w:rsidRPr="00FD4585">
        <w:t xml:space="preserve"> - 16 магазинов;</w:t>
      </w:r>
    </w:p>
    <w:p w:rsidR="00FD4585" w:rsidRPr="00FD4585" w:rsidRDefault="00FD4585" w:rsidP="00FD4585">
      <w:pPr>
        <w:autoSpaceDE w:val="0"/>
        <w:autoSpaceDN w:val="0"/>
        <w:adjustRightInd w:val="0"/>
        <w:ind w:firstLine="708"/>
        <w:jc w:val="both"/>
      </w:pPr>
      <w:r w:rsidRPr="00FD4585">
        <w:t xml:space="preserve"> - кулинария;</w:t>
      </w:r>
    </w:p>
    <w:p w:rsidR="00FD4585" w:rsidRPr="00FD4585" w:rsidRDefault="00FD4585" w:rsidP="006A1545">
      <w:pPr>
        <w:autoSpaceDE w:val="0"/>
        <w:autoSpaceDN w:val="0"/>
        <w:adjustRightInd w:val="0"/>
        <w:ind w:firstLine="708"/>
        <w:jc w:val="both"/>
      </w:pPr>
      <w:r w:rsidRPr="00FD4585">
        <w:t xml:space="preserve"> - МУЗ ЦРБ </w:t>
      </w:r>
      <w:proofErr w:type="spellStart"/>
      <w:r w:rsidRPr="00FD4585">
        <w:t>Шумская</w:t>
      </w:r>
      <w:proofErr w:type="spellEnd"/>
      <w:r w:rsidRPr="00FD4585">
        <w:t xml:space="preserve"> городская больница;</w:t>
      </w:r>
    </w:p>
    <w:p w:rsidR="00FD4585" w:rsidRPr="00FD4585" w:rsidRDefault="00FD4585" w:rsidP="00FD4585">
      <w:pPr>
        <w:autoSpaceDE w:val="0"/>
        <w:autoSpaceDN w:val="0"/>
        <w:adjustRightInd w:val="0"/>
        <w:ind w:firstLine="708"/>
        <w:jc w:val="both"/>
      </w:pPr>
      <w:r w:rsidRPr="00FD4585">
        <w:t xml:space="preserve"> - парикмахерская и пошивочная мастерская;</w:t>
      </w:r>
    </w:p>
    <w:p w:rsidR="00FD4585" w:rsidRPr="00FD4585" w:rsidRDefault="00FD4585" w:rsidP="00FD4585">
      <w:pPr>
        <w:autoSpaceDE w:val="0"/>
        <w:autoSpaceDN w:val="0"/>
        <w:adjustRightInd w:val="0"/>
        <w:ind w:firstLine="708"/>
        <w:jc w:val="both"/>
      </w:pPr>
      <w:r w:rsidRPr="00FD4585">
        <w:t xml:space="preserve"> - учреждение культуры, библиотека; </w:t>
      </w:r>
    </w:p>
    <w:p w:rsidR="00FD4585" w:rsidRPr="00FD4585" w:rsidRDefault="00FD4585" w:rsidP="00FD4585">
      <w:pPr>
        <w:autoSpaceDE w:val="0"/>
        <w:autoSpaceDN w:val="0"/>
        <w:adjustRightInd w:val="0"/>
        <w:ind w:firstLine="708"/>
        <w:jc w:val="both"/>
      </w:pPr>
      <w:r w:rsidRPr="00FD4585">
        <w:t xml:space="preserve"> - УФПС Иркутской области Филиал ФГУП «Почта России» </w:t>
      </w:r>
      <w:proofErr w:type="spellStart"/>
      <w:r w:rsidRPr="00FD4585">
        <w:t>Нижнеудинский</w:t>
      </w:r>
      <w:proofErr w:type="spellEnd"/>
      <w:r w:rsidRPr="00FD4585">
        <w:t xml:space="preserve"> Почтамт; </w:t>
      </w:r>
    </w:p>
    <w:p w:rsidR="00FD4585" w:rsidRPr="00FD4585" w:rsidRDefault="00FD4585" w:rsidP="00FD4585">
      <w:pPr>
        <w:autoSpaceDE w:val="0"/>
        <w:autoSpaceDN w:val="0"/>
        <w:adjustRightInd w:val="0"/>
        <w:ind w:firstLine="708"/>
        <w:jc w:val="both"/>
      </w:pPr>
      <w:r w:rsidRPr="00FD4585">
        <w:t xml:space="preserve"> - филиал Сбербанка России;</w:t>
      </w:r>
    </w:p>
    <w:p w:rsidR="00FD4585" w:rsidRPr="00FD4585" w:rsidRDefault="00FD4585" w:rsidP="00FD4585">
      <w:pPr>
        <w:autoSpaceDE w:val="0"/>
        <w:autoSpaceDN w:val="0"/>
        <w:adjustRightInd w:val="0"/>
        <w:ind w:firstLine="708"/>
        <w:jc w:val="both"/>
      </w:pPr>
    </w:p>
    <w:p w:rsidR="00FD4585" w:rsidRPr="00FD4585" w:rsidRDefault="00FD4585" w:rsidP="00FD4585">
      <w:pPr>
        <w:ind w:firstLine="709"/>
        <w:jc w:val="both"/>
        <w:rPr>
          <w:rFonts w:cs="Calibri"/>
        </w:rPr>
      </w:pPr>
      <w:r w:rsidRPr="00FD4585">
        <w:rPr>
          <w:rFonts w:cs="Calibri"/>
        </w:rPr>
        <w:t xml:space="preserve">Жилищный фонд Шумского городского поселения на 01.01.2016 г. составляет 31,7769 тыс. м² общей площади. </w:t>
      </w:r>
    </w:p>
    <w:p w:rsidR="00FD4585" w:rsidRPr="00FD4585" w:rsidRDefault="00FD4585" w:rsidP="00FD4585">
      <w:pPr>
        <w:ind w:firstLine="709"/>
        <w:jc w:val="both"/>
        <w:rPr>
          <w:rFonts w:cs="Calibri"/>
        </w:rPr>
      </w:pPr>
      <w:r w:rsidRPr="00FD4585">
        <w:rPr>
          <w:rFonts w:cs="Calibri"/>
        </w:rPr>
        <w:t>Средняя плотность населения в жилой застройке составляет 10,7чел./</w:t>
      </w:r>
      <w:proofErr w:type="gramStart"/>
      <w:r w:rsidRPr="00FD4585">
        <w:rPr>
          <w:rFonts w:cs="Calibri"/>
        </w:rPr>
        <w:t>га</w:t>
      </w:r>
      <w:proofErr w:type="gramEnd"/>
      <w:r w:rsidRPr="00FD4585">
        <w:rPr>
          <w:rFonts w:cs="Calibri"/>
        </w:rPr>
        <w:t xml:space="preserve"> по поселению.</w:t>
      </w:r>
    </w:p>
    <w:p w:rsidR="00FD4585" w:rsidRPr="00FD4585" w:rsidRDefault="00FD4585" w:rsidP="00FD4585">
      <w:pPr>
        <w:ind w:firstLine="709"/>
        <w:jc w:val="both"/>
        <w:rPr>
          <w:rFonts w:cs="Calibri"/>
        </w:rPr>
      </w:pPr>
      <w:r w:rsidRPr="00FD4585">
        <w:rPr>
          <w:rFonts w:cs="Calibri"/>
        </w:rPr>
        <w:t>Жилищный фонд представлен деревянными и капитальными жилыми домами (</w:t>
      </w:r>
      <w:proofErr w:type="gramStart"/>
      <w:r w:rsidRPr="00FD4585">
        <w:rPr>
          <w:rFonts w:cs="Calibri"/>
        </w:rPr>
        <w:t>см</w:t>
      </w:r>
      <w:proofErr w:type="gramEnd"/>
      <w:r w:rsidRPr="00FD4585">
        <w:rPr>
          <w:rFonts w:cs="Calibri"/>
        </w:rPr>
        <w:t xml:space="preserve">. таблицу 1) и по техническим параметрам находится на среднем уровне. Общая площадь ветхого и аварийного жилищного фонда составляет 64,3%. </w:t>
      </w:r>
    </w:p>
    <w:p w:rsidR="00FD4585" w:rsidRPr="00FD4585" w:rsidRDefault="00FD4585" w:rsidP="00FD4585">
      <w:pPr>
        <w:ind w:firstLine="709"/>
        <w:jc w:val="both"/>
        <w:rPr>
          <w:rFonts w:cs="Calibri"/>
        </w:rPr>
      </w:pPr>
      <w:r w:rsidRPr="00FD4585">
        <w:rPr>
          <w:rFonts w:cs="Calibri"/>
        </w:rPr>
        <w:t>Средняя этажность жилой застройки составляет 1 этаж. На жилищный фонд малоэтажной застройки (1 этаж) приходится 31, 3449 тыс. м² общей площади жилья (98,6%), 2-этажные – 0,432 тыс. м² общей площади жилья (1,4%).</w:t>
      </w:r>
    </w:p>
    <w:p w:rsidR="00FD4585" w:rsidRPr="00FD4585" w:rsidRDefault="00FD4585" w:rsidP="00FD4585">
      <w:pPr>
        <w:jc w:val="center"/>
        <w:rPr>
          <w:sz w:val="16"/>
          <w:szCs w:val="16"/>
        </w:rPr>
      </w:pPr>
    </w:p>
    <w:p w:rsidR="00FD4585" w:rsidRPr="00FD4585" w:rsidRDefault="00FD4585" w:rsidP="00FD4585">
      <w:pPr>
        <w:ind w:firstLine="284"/>
        <w:jc w:val="right"/>
      </w:pPr>
      <w:r w:rsidRPr="00FD4585">
        <w:t xml:space="preserve">Табл. 1. Распределение жилищного фонда по этажности и </w:t>
      </w:r>
    </w:p>
    <w:p w:rsidR="00FD4585" w:rsidRPr="00FD4585" w:rsidRDefault="00FD4585" w:rsidP="00FD4585">
      <w:pPr>
        <w:ind w:firstLine="284"/>
        <w:jc w:val="right"/>
        <w:rPr>
          <w:b/>
        </w:rPr>
      </w:pPr>
      <w:r w:rsidRPr="00FD4585">
        <w:t>материалу стен (тыс. м² общей площади квартир).</w:t>
      </w:r>
    </w:p>
    <w:p w:rsidR="00FD4585" w:rsidRPr="00FD4585" w:rsidRDefault="00FD4585" w:rsidP="00FD458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799"/>
        <w:gridCol w:w="704"/>
        <w:gridCol w:w="601"/>
        <w:gridCol w:w="694"/>
        <w:gridCol w:w="704"/>
        <w:gridCol w:w="601"/>
        <w:gridCol w:w="643"/>
        <w:gridCol w:w="704"/>
        <w:gridCol w:w="519"/>
        <w:gridCol w:w="644"/>
        <w:gridCol w:w="705"/>
        <w:gridCol w:w="931"/>
      </w:tblGrid>
      <w:tr w:rsidR="00FD4585" w:rsidRPr="00FD4585" w:rsidTr="00EA428D">
        <w:trPr>
          <w:trHeight w:val="70"/>
        </w:trPr>
        <w:tc>
          <w:tcPr>
            <w:tcW w:w="653" w:type="pct"/>
            <w:vMerge w:val="restar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Населенные пункты</w:t>
            </w:r>
          </w:p>
        </w:tc>
        <w:tc>
          <w:tcPr>
            <w:tcW w:w="2158" w:type="pct"/>
            <w:gridSpan w:val="6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1-этажные</w:t>
            </w:r>
          </w:p>
        </w:tc>
        <w:tc>
          <w:tcPr>
            <w:tcW w:w="1044" w:type="pct"/>
            <w:gridSpan w:val="3"/>
            <w:vMerge w:val="restar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2-этажные</w:t>
            </w:r>
          </w:p>
        </w:tc>
        <w:tc>
          <w:tcPr>
            <w:tcW w:w="749" w:type="pct"/>
            <w:gridSpan w:val="2"/>
            <w:vMerge w:val="restar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итого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Всего, тыс. м</w:t>
            </w:r>
            <w:proofErr w:type="gramStart"/>
            <w:r w:rsidRPr="00FD458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D4585" w:rsidRPr="00FD4585" w:rsidTr="00EA428D">
        <w:trPr>
          <w:trHeight w:val="70"/>
        </w:trPr>
        <w:tc>
          <w:tcPr>
            <w:tcW w:w="653" w:type="pct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pct"/>
            <w:gridSpan w:val="3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1-квартирные</w:t>
            </w:r>
          </w:p>
        </w:tc>
        <w:tc>
          <w:tcPr>
            <w:tcW w:w="1052" w:type="pct"/>
            <w:gridSpan w:val="3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2-квартирные</w:t>
            </w:r>
          </w:p>
        </w:tc>
        <w:tc>
          <w:tcPr>
            <w:tcW w:w="1044" w:type="pct"/>
            <w:gridSpan w:val="3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  <w:gridSpan w:val="2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</w:tr>
      <w:tr w:rsidR="00FD4585" w:rsidRPr="00FD4585" w:rsidTr="00EA428D">
        <w:trPr>
          <w:cantSplit/>
          <w:trHeight w:val="1608"/>
        </w:trPr>
        <w:tc>
          <w:tcPr>
            <w:tcW w:w="653" w:type="pct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textDirection w:val="btLr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proofErr w:type="gramStart"/>
            <w:r w:rsidRPr="00FD4585">
              <w:rPr>
                <w:sz w:val="22"/>
                <w:szCs w:val="22"/>
              </w:rPr>
              <w:t>капитальные</w:t>
            </w:r>
            <w:proofErr w:type="gramEnd"/>
            <w:r w:rsidRPr="00FD4585">
              <w:rPr>
                <w:sz w:val="22"/>
                <w:szCs w:val="22"/>
              </w:rPr>
              <w:t>, домов</w:t>
            </w:r>
          </w:p>
        </w:tc>
        <w:tc>
          <w:tcPr>
            <w:tcW w:w="390" w:type="pct"/>
            <w:shd w:val="clear" w:color="auto" w:fill="auto"/>
            <w:textDirection w:val="btLr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proofErr w:type="gramStart"/>
            <w:r w:rsidRPr="00FD4585">
              <w:rPr>
                <w:sz w:val="22"/>
                <w:szCs w:val="22"/>
              </w:rPr>
              <w:t>деревянные</w:t>
            </w:r>
            <w:proofErr w:type="gramEnd"/>
            <w:r w:rsidRPr="00FD4585">
              <w:rPr>
                <w:sz w:val="22"/>
                <w:szCs w:val="22"/>
              </w:rPr>
              <w:t>, домов</w:t>
            </w:r>
          </w:p>
        </w:tc>
        <w:tc>
          <w:tcPr>
            <w:tcW w:w="278" w:type="pct"/>
            <w:shd w:val="clear" w:color="auto" w:fill="auto"/>
            <w:noWrap/>
            <w:textDirection w:val="btLr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итого</w:t>
            </w:r>
          </w:p>
        </w:tc>
        <w:tc>
          <w:tcPr>
            <w:tcW w:w="385" w:type="pct"/>
            <w:shd w:val="clear" w:color="auto" w:fill="auto"/>
            <w:textDirection w:val="btLr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proofErr w:type="gramStart"/>
            <w:r w:rsidRPr="00FD4585">
              <w:rPr>
                <w:sz w:val="22"/>
                <w:szCs w:val="22"/>
              </w:rPr>
              <w:t>капитальные</w:t>
            </w:r>
            <w:proofErr w:type="gramEnd"/>
            <w:r w:rsidRPr="00FD4585">
              <w:rPr>
                <w:sz w:val="22"/>
                <w:szCs w:val="22"/>
              </w:rPr>
              <w:t>, домов</w:t>
            </w:r>
          </w:p>
        </w:tc>
        <w:tc>
          <w:tcPr>
            <w:tcW w:w="390" w:type="pct"/>
            <w:shd w:val="clear" w:color="auto" w:fill="auto"/>
            <w:textDirection w:val="btLr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proofErr w:type="gramStart"/>
            <w:r w:rsidRPr="00FD4585">
              <w:rPr>
                <w:sz w:val="22"/>
                <w:szCs w:val="22"/>
              </w:rPr>
              <w:t>деревянные</w:t>
            </w:r>
            <w:proofErr w:type="gramEnd"/>
            <w:r w:rsidRPr="00FD4585">
              <w:rPr>
                <w:sz w:val="22"/>
                <w:szCs w:val="22"/>
              </w:rPr>
              <w:t>, домов</w:t>
            </w:r>
          </w:p>
        </w:tc>
        <w:tc>
          <w:tcPr>
            <w:tcW w:w="278" w:type="pct"/>
            <w:shd w:val="clear" w:color="auto" w:fill="auto"/>
            <w:noWrap/>
            <w:textDirection w:val="btLr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итого</w:t>
            </w:r>
          </w:p>
        </w:tc>
        <w:tc>
          <w:tcPr>
            <w:tcW w:w="359" w:type="pct"/>
            <w:shd w:val="clear" w:color="auto" w:fill="auto"/>
            <w:textDirection w:val="btLr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proofErr w:type="gramStart"/>
            <w:r w:rsidRPr="00FD4585">
              <w:rPr>
                <w:sz w:val="22"/>
                <w:szCs w:val="22"/>
              </w:rPr>
              <w:t>капитальные</w:t>
            </w:r>
            <w:proofErr w:type="gramEnd"/>
            <w:r w:rsidRPr="00FD4585">
              <w:rPr>
                <w:sz w:val="22"/>
                <w:szCs w:val="22"/>
              </w:rPr>
              <w:t>, домов</w:t>
            </w:r>
          </w:p>
        </w:tc>
        <w:tc>
          <w:tcPr>
            <w:tcW w:w="390" w:type="pct"/>
            <w:shd w:val="clear" w:color="auto" w:fill="auto"/>
            <w:textDirection w:val="btLr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proofErr w:type="gramStart"/>
            <w:r w:rsidRPr="00FD4585">
              <w:rPr>
                <w:sz w:val="22"/>
                <w:szCs w:val="22"/>
              </w:rPr>
              <w:t>деревянные</w:t>
            </w:r>
            <w:proofErr w:type="gramEnd"/>
            <w:r w:rsidRPr="00FD4585">
              <w:rPr>
                <w:sz w:val="22"/>
                <w:szCs w:val="22"/>
              </w:rPr>
              <w:t>, домов</w:t>
            </w:r>
          </w:p>
        </w:tc>
        <w:tc>
          <w:tcPr>
            <w:tcW w:w="295" w:type="pct"/>
            <w:shd w:val="clear" w:color="auto" w:fill="auto"/>
            <w:noWrap/>
            <w:textDirection w:val="btLr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итого</w:t>
            </w:r>
          </w:p>
        </w:tc>
        <w:tc>
          <w:tcPr>
            <w:tcW w:w="359" w:type="pct"/>
            <w:shd w:val="clear" w:color="auto" w:fill="auto"/>
            <w:textDirection w:val="btLr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proofErr w:type="gramStart"/>
            <w:r w:rsidRPr="00FD4585">
              <w:rPr>
                <w:sz w:val="22"/>
                <w:szCs w:val="22"/>
              </w:rPr>
              <w:t>капитальные</w:t>
            </w:r>
            <w:proofErr w:type="gramEnd"/>
            <w:r w:rsidRPr="00FD4585">
              <w:rPr>
                <w:sz w:val="22"/>
                <w:szCs w:val="22"/>
              </w:rPr>
              <w:t>, домов</w:t>
            </w:r>
          </w:p>
        </w:tc>
        <w:tc>
          <w:tcPr>
            <w:tcW w:w="390" w:type="pct"/>
            <w:shd w:val="clear" w:color="auto" w:fill="auto"/>
            <w:textDirection w:val="btLr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proofErr w:type="gramStart"/>
            <w:r w:rsidRPr="00FD4585">
              <w:rPr>
                <w:sz w:val="22"/>
                <w:szCs w:val="22"/>
              </w:rPr>
              <w:t>деревянные</w:t>
            </w:r>
            <w:proofErr w:type="gramEnd"/>
            <w:r w:rsidRPr="00FD4585">
              <w:rPr>
                <w:sz w:val="22"/>
                <w:szCs w:val="22"/>
              </w:rPr>
              <w:t>, домов</w:t>
            </w:r>
          </w:p>
        </w:tc>
        <w:tc>
          <w:tcPr>
            <w:tcW w:w="396" w:type="pct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</w:tr>
      <w:tr w:rsidR="00FD4585" w:rsidRPr="00FD4585" w:rsidTr="00EA428D">
        <w:trPr>
          <w:trHeight w:val="70"/>
        </w:trPr>
        <w:tc>
          <w:tcPr>
            <w:tcW w:w="653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р.п</w:t>
            </w:r>
            <w:proofErr w:type="gramStart"/>
            <w:r w:rsidRPr="00FD4585">
              <w:rPr>
                <w:sz w:val="22"/>
                <w:szCs w:val="22"/>
              </w:rPr>
              <w:t>.Ш</w:t>
            </w:r>
            <w:proofErr w:type="gramEnd"/>
            <w:r w:rsidRPr="00FD4585">
              <w:rPr>
                <w:sz w:val="22"/>
                <w:szCs w:val="22"/>
              </w:rPr>
              <w:t>умский</w:t>
            </w:r>
          </w:p>
        </w:tc>
        <w:tc>
          <w:tcPr>
            <w:tcW w:w="439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921</w:t>
            </w:r>
          </w:p>
        </w:tc>
        <w:tc>
          <w:tcPr>
            <w:tcW w:w="278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921</w:t>
            </w:r>
          </w:p>
        </w:tc>
        <w:tc>
          <w:tcPr>
            <w:tcW w:w="385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202</w:t>
            </w:r>
          </w:p>
        </w:tc>
        <w:tc>
          <w:tcPr>
            <w:tcW w:w="278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206</w:t>
            </w:r>
          </w:p>
        </w:tc>
        <w:tc>
          <w:tcPr>
            <w:tcW w:w="359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</w:t>
            </w:r>
          </w:p>
        </w:tc>
        <w:tc>
          <w:tcPr>
            <w:tcW w:w="295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1125</w:t>
            </w:r>
          </w:p>
        </w:tc>
        <w:tc>
          <w:tcPr>
            <w:tcW w:w="396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31,7769</w:t>
            </w:r>
          </w:p>
        </w:tc>
      </w:tr>
      <w:tr w:rsidR="00FD4585" w:rsidRPr="00FD4585" w:rsidTr="00EA428D">
        <w:trPr>
          <w:trHeight w:val="70"/>
        </w:trPr>
        <w:tc>
          <w:tcPr>
            <w:tcW w:w="653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921</w:t>
            </w:r>
          </w:p>
        </w:tc>
        <w:tc>
          <w:tcPr>
            <w:tcW w:w="278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921</w:t>
            </w:r>
          </w:p>
        </w:tc>
        <w:tc>
          <w:tcPr>
            <w:tcW w:w="385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202</w:t>
            </w:r>
          </w:p>
        </w:tc>
        <w:tc>
          <w:tcPr>
            <w:tcW w:w="278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206</w:t>
            </w:r>
          </w:p>
        </w:tc>
        <w:tc>
          <w:tcPr>
            <w:tcW w:w="359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</w:t>
            </w:r>
          </w:p>
        </w:tc>
        <w:tc>
          <w:tcPr>
            <w:tcW w:w="295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1125</w:t>
            </w:r>
          </w:p>
        </w:tc>
        <w:tc>
          <w:tcPr>
            <w:tcW w:w="396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31,777</w:t>
            </w:r>
          </w:p>
        </w:tc>
      </w:tr>
      <w:tr w:rsidR="00FD4585" w:rsidRPr="00FD4585" w:rsidTr="00EA428D">
        <w:trPr>
          <w:trHeight w:val="70"/>
        </w:trPr>
        <w:tc>
          <w:tcPr>
            <w:tcW w:w="653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%</w:t>
            </w:r>
          </w:p>
        </w:tc>
        <w:tc>
          <w:tcPr>
            <w:tcW w:w="439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81,5</w:t>
            </w:r>
          </w:p>
        </w:tc>
        <w:tc>
          <w:tcPr>
            <w:tcW w:w="278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81,5</w:t>
            </w:r>
          </w:p>
        </w:tc>
        <w:tc>
          <w:tcPr>
            <w:tcW w:w="385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0,4</w:t>
            </w: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17,9</w:t>
            </w:r>
          </w:p>
        </w:tc>
        <w:tc>
          <w:tcPr>
            <w:tcW w:w="278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17,9</w:t>
            </w:r>
          </w:p>
        </w:tc>
        <w:tc>
          <w:tcPr>
            <w:tcW w:w="359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0,2</w:t>
            </w:r>
          </w:p>
        </w:tc>
        <w:tc>
          <w:tcPr>
            <w:tcW w:w="295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0,2</w:t>
            </w:r>
          </w:p>
        </w:tc>
        <w:tc>
          <w:tcPr>
            <w:tcW w:w="359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0,4</w:t>
            </w:r>
          </w:p>
        </w:tc>
        <w:tc>
          <w:tcPr>
            <w:tcW w:w="390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99,6</w:t>
            </w:r>
          </w:p>
        </w:tc>
        <w:tc>
          <w:tcPr>
            <w:tcW w:w="396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100</w:t>
            </w:r>
          </w:p>
        </w:tc>
      </w:tr>
    </w:tbl>
    <w:p w:rsidR="00FD4585" w:rsidRPr="00FD4585" w:rsidRDefault="00FD4585" w:rsidP="00FD4585">
      <w:pPr>
        <w:jc w:val="center"/>
        <w:rPr>
          <w:sz w:val="16"/>
          <w:szCs w:val="16"/>
        </w:rPr>
      </w:pPr>
    </w:p>
    <w:p w:rsidR="00FD4585" w:rsidRPr="00FD4585" w:rsidRDefault="00FD4585" w:rsidP="00FD4585">
      <w:pPr>
        <w:ind w:firstLine="709"/>
        <w:jc w:val="both"/>
        <w:rPr>
          <w:rFonts w:cs="Calibri"/>
        </w:rPr>
      </w:pPr>
      <w:r w:rsidRPr="00FD4585">
        <w:rPr>
          <w:rFonts w:cs="Calibri"/>
        </w:rPr>
        <w:t xml:space="preserve">Средняя обеспеченность населения общей площадью жилья на 01.01.2016 г. составляет 11,8 м²/чел., что значительно ниже среднего уровня для городских поселений Иркутской области (21,1м²/чел.).  </w:t>
      </w:r>
    </w:p>
    <w:p w:rsidR="00FD4585" w:rsidRPr="00FD4585" w:rsidRDefault="00FD4585" w:rsidP="00FD4585">
      <w:pPr>
        <w:ind w:firstLine="709"/>
        <w:jc w:val="both"/>
        <w:rPr>
          <w:rFonts w:cs="Calibri"/>
        </w:rPr>
      </w:pPr>
      <w:r w:rsidRPr="00FD4585">
        <w:rPr>
          <w:rFonts w:cs="Calibri"/>
        </w:rPr>
        <w:t>Жилищный фонд поселения отличается низким уровнем благоустройства. Обеспеченность жилищного фонда основными видами инженерного оборудования, такими как водопровод, канализация, центральное отопление, горячее водоснабжение, газоснабжение, газовые электроплиты, ванные и душевые, стационарные телефоны, мусоропроводы составляет 0%.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 xml:space="preserve">2.2 Технико-экономические параметры существующих объектов </w:t>
      </w:r>
      <w:proofErr w:type="gramStart"/>
      <w:r w:rsidRPr="00FD4585">
        <w:rPr>
          <w:b/>
        </w:rPr>
        <w:t>социальной</w:t>
      </w:r>
      <w:proofErr w:type="gramEnd"/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>инфраструктуры поселения, сложившийся уровень обеспеченности населения поселения услугами в областях образования, здравоохранения, физической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>культуры и массового спорта и культуры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  <w:r w:rsidRPr="00FD4585">
        <w:t>В Шумском городском поселении расположены следующие объекты социальной инфраструктуры:</w:t>
      </w:r>
    </w:p>
    <w:p w:rsidR="00FD4585" w:rsidRPr="00FD4585" w:rsidRDefault="00FD4585" w:rsidP="00FD4585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</w:pPr>
      <w:proofErr w:type="spellStart"/>
      <w:r w:rsidRPr="00FD4585">
        <w:t>Шумская</w:t>
      </w:r>
      <w:proofErr w:type="spellEnd"/>
      <w:r w:rsidRPr="00FD4585">
        <w:t xml:space="preserve"> общеобразовательная школа: 3-х этажное кирпичное здание, площадь – 2667 м</w:t>
      </w:r>
      <w:proofErr w:type="gramStart"/>
      <w:r w:rsidRPr="00FD4585">
        <w:rPr>
          <w:vertAlign w:val="superscript"/>
        </w:rPr>
        <w:t>2</w:t>
      </w:r>
      <w:proofErr w:type="gramEnd"/>
      <w:r w:rsidRPr="00FD4585">
        <w:t>, год постройки – 1980 г., расчетная вместимость – 450 учеников. Капитальный и текущий ремонты до 2015 г. не проводились.</w:t>
      </w:r>
    </w:p>
    <w:p w:rsidR="00FD4585" w:rsidRPr="00FD4585" w:rsidRDefault="00FD4585" w:rsidP="00FD458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2"/>
      </w:pPr>
      <w:r w:rsidRPr="00FD4585">
        <w:t>Школа искусств: одноэтажное деревянное здание, площадь – 266 м</w:t>
      </w:r>
      <w:proofErr w:type="gramStart"/>
      <w:r w:rsidRPr="00FD4585">
        <w:rPr>
          <w:vertAlign w:val="superscript"/>
        </w:rPr>
        <w:t>2</w:t>
      </w:r>
      <w:proofErr w:type="gramEnd"/>
      <w:r w:rsidRPr="00FD4585">
        <w:t xml:space="preserve">, год постройки – 1930 г.,  расчетная вместимость – 50 учеников. Капитальный и текущий ремонты до 2015 г. не проводились. </w:t>
      </w:r>
    </w:p>
    <w:p w:rsidR="00FD4585" w:rsidRPr="00FD4585" w:rsidRDefault="00FD4585" w:rsidP="00FD4585">
      <w:pPr>
        <w:numPr>
          <w:ilvl w:val="0"/>
          <w:numId w:val="21"/>
        </w:numPr>
      </w:pPr>
      <w:r w:rsidRPr="00FD4585">
        <w:t>Детский сад (ул. Советская, 40): 2-х этажное деревянное здание, площадь – 486 м</w:t>
      </w:r>
      <w:proofErr w:type="gramStart"/>
      <w:r w:rsidRPr="00FD4585">
        <w:rPr>
          <w:vertAlign w:val="superscript"/>
        </w:rPr>
        <w:t>2</w:t>
      </w:r>
      <w:proofErr w:type="gramEnd"/>
      <w:r w:rsidRPr="00FD4585">
        <w:t>, год постройки 1936 г.  расчетная вместимость – 90 детей. Капитальный и текущий ремонты до 2015 г. не проводились.</w:t>
      </w:r>
    </w:p>
    <w:p w:rsidR="00FD4585" w:rsidRPr="00FD4585" w:rsidRDefault="00FD4585" w:rsidP="00FD4585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</w:pPr>
      <w:r w:rsidRPr="00FD4585">
        <w:t>Детский сад (ул. Советская, 28а): 2-х этажное кирпичное здание, площадь – 328 м</w:t>
      </w:r>
      <w:proofErr w:type="gramStart"/>
      <w:r w:rsidRPr="00FD4585">
        <w:rPr>
          <w:vertAlign w:val="superscript"/>
        </w:rPr>
        <w:t>2</w:t>
      </w:r>
      <w:proofErr w:type="gramEnd"/>
      <w:r w:rsidRPr="00FD4585">
        <w:t>, год постройки – 1972 г., расчетная вместимость – 75 детей. В 2015 году проведен капитальный ремонт.</w:t>
      </w:r>
    </w:p>
    <w:p w:rsidR="00FD4585" w:rsidRPr="00FD4585" w:rsidRDefault="00FD4585" w:rsidP="00FD4585">
      <w:pPr>
        <w:numPr>
          <w:ilvl w:val="0"/>
          <w:numId w:val="21"/>
        </w:numPr>
      </w:pPr>
      <w:proofErr w:type="spellStart"/>
      <w:r w:rsidRPr="00FD4585">
        <w:t>Шумская</w:t>
      </w:r>
      <w:proofErr w:type="spellEnd"/>
      <w:r w:rsidRPr="00FD4585">
        <w:t xml:space="preserve"> городская больница: 2-х этажное деревянное здание, площадь – 355 м</w:t>
      </w:r>
      <w:proofErr w:type="gramStart"/>
      <w:r w:rsidRPr="00FD4585">
        <w:rPr>
          <w:vertAlign w:val="superscript"/>
        </w:rPr>
        <w:t>2</w:t>
      </w:r>
      <w:proofErr w:type="gramEnd"/>
      <w:r w:rsidRPr="00FD4585">
        <w:t xml:space="preserve">, год постройки – 1938 г. амбулаторное лечение, средняя посещаемость в смену – 48 человек. Капитальный и текущий ремонты до 2015 г. не проводились. </w:t>
      </w:r>
    </w:p>
    <w:p w:rsidR="00FD4585" w:rsidRPr="00FD4585" w:rsidRDefault="00FD4585" w:rsidP="00FD4585">
      <w:pPr>
        <w:numPr>
          <w:ilvl w:val="0"/>
          <w:numId w:val="21"/>
        </w:numPr>
      </w:pPr>
      <w:r w:rsidRPr="00FD4585">
        <w:t>Аптека: расположена в здании администрации Шумского муниципального образования, здание 2-х этажное деревянное, год постройки – 1938 г., занимаемая площадь – 39 м</w:t>
      </w:r>
      <w:proofErr w:type="gramStart"/>
      <w:r w:rsidRPr="00FD4585">
        <w:rPr>
          <w:vertAlign w:val="superscript"/>
        </w:rPr>
        <w:t>2</w:t>
      </w:r>
      <w:proofErr w:type="gramEnd"/>
      <w:r w:rsidRPr="00FD4585">
        <w:t>. Капитальный и текущий ремонты до 2015 г. не проводились.</w:t>
      </w:r>
    </w:p>
    <w:p w:rsidR="00FD4585" w:rsidRPr="00FD4585" w:rsidRDefault="00FD4585" w:rsidP="00FD4585">
      <w:pPr>
        <w:numPr>
          <w:ilvl w:val="0"/>
          <w:numId w:val="21"/>
        </w:numPr>
      </w:pPr>
      <w:r w:rsidRPr="00FD4585">
        <w:t>Спортивный зал: 2-х этажное деревянное здание, площадь – 600 м</w:t>
      </w:r>
      <w:proofErr w:type="gramStart"/>
      <w:r w:rsidRPr="00FD4585">
        <w:rPr>
          <w:vertAlign w:val="superscript"/>
        </w:rPr>
        <w:t>2</w:t>
      </w:r>
      <w:proofErr w:type="gramEnd"/>
      <w:r w:rsidRPr="00FD4585">
        <w:t>., год постройки – 1982 г. Капитальный и текущий ремонты до 2015 г. не проводились.</w:t>
      </w:r>
    </w:p>
    <w:p w:rsidR="00FD4585" w:rsidRPr="00FD4585" w:rsidRDefault="00FD4585" w:rsidP="00FD4585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</w:pPr>
      <w:r w:rsidRPr="00FD4585">
        <w:t>Учреждение культуры: одноэтажное деревянное здание, площадь – 891 м</w:t>
      </w:r>
      <w:proofErr w:type="gramStart"/>
      <w:r w:rsidRPr="00FD4585">
        <w:rPr>
          <w:vertAlign w:val="superscript"/>
        </w:rPr>
        <w:t>2</w:t>
      </w:r>
      <w:proofErr w:type="gramEnd"/>
      <w:r w:rsidRPr="00FD4585">
        <w:t>, год постройки – 1962 г., расчетная вместимость – 300 человек. Капитальный ремонт не проводился. В 2012 году произведена замена кровли.</w:t>
      </w:r>
    </w:p>
    <w:p w:rsidR="00FD4585" w:rsidRPr="00FD4585" w:rsidRDefault="00FD4585" w:rsidP="00FD4585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</w:pPr>
      <w:r w:rsidRPr="00FD4585">
        <w:t>Библиотека: расположена в здании учреждения культуры, занимаемая площадь – 64 м</w:t>
      </w:r>
      <w:proofErr w:type="gramStart"/>
      <w:r w:rsidRPr="00FD4585">
        <w:rPr>
          <w:vertAlign w:val="superscript"/>
        </w:rPr>
        <w:t>2</w:t>
      </w:r>
      <w:proofErr w:type="gramEnd"/>
      <w:r w:rsidRPr="00FD4585">
        <w:t>, книжный фонд - 25 тыс. единиц хранения.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  <w:r w:rsidRPr="00FD4585">
        <w:t xml:space="preserve">Уровень обеспеченности населения услугами в областях образования, здравоохранения, физической культуры и массового спорта и культуры представлен в таблице 2. 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right"/>
        <w:outlineLvl w:val="2"/>
      </w:pPr>
      <w:r w:rsidRPr="00FD4585">
        <w:t xml:space="preserve">Табл. 2 Обеспеченность населения услугами в областях образования, 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right"/>
        <w:outlineLvl w:val="2"/>
      </w:pPr>
      <w:r w:rsidRPr="00FD4585">
        <w:t>здравоохранения, физической культуры и массового спорта и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31"/>
        <w:gridCol w:w="1741"/>
        <w:gridCol w:w="1697"/>
        <w:gridCol w:w="1457"/>
        <w:gridCol w:w="656"/>
        <w:gridCol w:w="1219"/>
      </w:tblGrid>
      <w:tr w:rsidR="00FD4585" w:rsidRPr="00FD4585" w:rsidTr="00EA428D">
        <w:tc>
          <w:tcPr>
            <w:tcW w:w="246" w:type="pct"/>
            <w:vMerge w:val="restar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458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85">
              <w:rPr>
                <w:sz w:val="22"/>
                <w:szCs w:val="22"/>
              </w:rPr>
              <w:t>/</w:t>
            </w:r>
            <w:proofErr w:type="spellStart"/>
            <w:r w:rsidRPr="00FD458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33" w:type="pct"/>
            <w:vMerge w:val="restar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Объекты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14" w:type="pct"/>
            <w:vMerge w:val="restar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Нормативная обеспеченность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Вместимость (пропускная способность)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Обеспеченность</w:t>
            </w:r>
          </w:p>
        </w:tc>
      </w:tr>
      <w:tr w:rsidR="00FD4585" w:rsidRPr="00FD4585" w:rsidTr="00EA428D">
        <w:tc>
          <w:tcPr>
            <w:tcW w:w="246" w:type="pct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на 1000 жит.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% к нормативу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 </w:t>
            </w:r>
          </w:p>
        </w:tc>
        <w:tc>
          <w:tcPr>
            <w:tcW w:w="4754" w:type="pct"/>
            <w:gridSpan w:val="6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Учреждения образования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977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место</w:t>
            </w:r>
          </w:p>
        </w:tc>
        <w:tc>
          <w:tcPr>
            <w:tcW w:w="814" w:type="pct"/>
            <w:shd w:val="clear" w:color="auto" w:fill="auto"/>
            <w:noWrap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60</w:t>
            </w:r>
          </w:p>
        </w:tc>
        <w:tc>
          <w:tcPr>
            <w:tcW w:w="69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165</w:t>
            </w: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55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91,6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977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место</w:t>
            </w:r>
          </w:p>
        </w:tc>
        <w:tc>
          <w:tcPr>
            <w:tcW w:w="814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159</w:t>
            </w:r>
          </w:p>
        </w:tc>
        <w:tc>
          <w:tcPr>
            <w:tcW w:w="69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450</w:t>
            </w: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151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95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3</w:t>
            </w:r>
          </w:p>
        </w:tc>
        <w:tc>
          <w:tcPr>
            <w:tcW w:w="1333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Учреждения дополнительного обр.</w:t>
            </w:r>
            <w:r w:rsidRPr="00FD4585">
              <w:t xml:space="preserve"> (</w:t>
            </w:r>
            <w:r w:rsidRPr="00FD4585">
              <w:rPr>
                <w:sz w:val="22"/>
                <w:szCs w:val="22"/>
              </w:rPr>
              <w:t>10% общего количества школьников)</w:t>
            </w:r>
          </w:p>
        </w:tc>
        <w:tc>
          <w:tcPr>
            <w:tcW w:w="977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место</w:t>
            </w:r>
          </w:p>
        </w:tc>
        <w:tc>
          <w:tcPr>
            <w:tcW w:w="814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15,9</w:t>
            </w:r>
          </w:p>
        </w:tc>
        <w:tc>
          <w:tcPr>
            <w:tcW w:w="69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50</w:t>
            </w: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16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100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 </w:t>
            </w:r>
          </w:p>
        </w:tc>
        <w:tc>
          <w:tcPr>
            <w:tcW w:w="4754" w:type="pct"/>
            <w:gridSpan w:val="6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Учреждения здравоохранения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Стационары</w:t>
            </w:r>
          </w:p>
        </w:tc>
        <w:tc>
          <w:tcPr>
            <w:tcW w:w="977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койка</w:t>
            </w:r>
          </w:p>
        </w:tc>
        <w:tc>
          <w:tcPr>
            <w:tcW w:w="814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13,47</w:t>
            </w:r>
          </w:p>
        </w:tc>
        <w:tc>
          <w:tcPr>
            <w:tcW w:w="69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12</w:t>
            </w: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4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tabs>
                <w:tab w:val="left" w:pos="420"/>
                <w:tab w:val="center" w:pos="505"/>
              </w:tabs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30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Поликлиники, амбулатории</w:t>
            </w:r>
          </w:p>
        </w:tc>
        <w:tc>
          <w:tcPr>
            <w:tcW w:w="977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посещений в смену</w:t>
            </w:r>
          </w:p>
        </w:tc>
        <w:tc>
          <w:tcPr>
            <w:tcW w:w="814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18,15</w:t>
            </w:r>
          </w:p>
        </w:tc>
        <w:tc>
          <w:tcPr>
            <w:tcW w:w="69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52</w:t>
            </w: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17,5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96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Станции скорой помощи</w:t>
            </w:r>
          </w:p>
        </w:tc>
        <w:tc>
          <w:tcPr>
            <w:tcW w:w="977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автомобиль</w:t>
            </w:r>
          </w:p>
        </w:tc>
        <w:tc>
          <w:tcPr>
            <w:tcW w:w="814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 на 10 тыс. чел.</w:t>
            </w:r>
          </w:p>
        </w:tc>
        <w:tc>
          <w:tcPr>
            <w:tcW w:w="69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 на 2,98 тыс. чел.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100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Аптеки</w:t>
            </w:r>
          </w:p>
        </w:tc>
        <w:tc>
          <w:tcPr>
            <w:tcW w:w="977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объект</w:t>
            </w:r>
          </w:p>
        </w:tc>
        <w:tc>
          <w:tcPr>
            <w:tcW w:w="814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 на 10 тыс. жит.</w:t>
            </w:r>
          </w:p>
        </w:tc>
        <w:tc>
          <w:tcPr>
            <w:tcW w:w="69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 на 2,98 тыс. чел.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100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</w:p>
        </w:tc>
        <w:tc>
          <w:tcPr>
            <w:tcW w:w="4754" w:type="pct"/>
            <w:gridSpan w:val="6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Физкультурно-спортивные сооружения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977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м</w:t>
            </w:r>
            <w:proofErr w:type="gramStart"/>
            <w:r w:rsidRPr="00FD4585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FD4585">
              <w:rPr>
                <w:sz w:val="22"/>
                <w:szCs w:val="22"/>
              </w:rPr>
              <w:t xml:space="preserve"> площади пола на 1 тыс. чел.</w:t>
            </w:r>
          </w:p>
        </w:tc>
        <w:tc>
          <w:tcPr>
            <w:tcW w:w="814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60-80</w:t>
            </w:r>
          </w:p>
        </w:tc>
        <w:tc>
          <w:tcPr>
            <w:tcW w:w="69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600</w:t>
            </w: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201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252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Территория спортивных сооружений</w:t>
            </w:r>
          </w:p>
        </w:tc>
        <w:tc>
          <w:tcPr>
            <w:tcW w:w="977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proofErr w:type="gramStart"/>
            <w:r w:rsidRPr="00FD4585">
              <w:rPr>
                <w:sz w:val="22"/>
                <w:szCs w:val="22"/>
              </w:rPr>
              <w:t>га</w:t>
            </w:r>
            <w:proofErr w:type="gramEnd"/>
            <w:r w:rsidRPr="00FD4585">
              <w:rPr>
                <w:sz w:val="22"/>
                <w:szCs w:val="22"/>
              </w:rPr>
              <w:t xml:space="preserve"> на 1 тыс. чел.</w:t>
            </w:r>
          </w:p>
        </w:tc>
        <w:tc>
          <w:tcPr>
            <w:tcW w:w="814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0,7-0,9</w:t>
            </w:r>
          </w:p>
        </w:tc>
        <w:tc>
          <w:tcPr>
            <w:tcW w:w="69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4,5</w:t>
            </w: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1,51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167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</w:p>
        </w:tc>
        <w:tc>
          <w:tcPr>
            <w:tcW w:w="4754" w:type="pct"/>
            <w:gridSpan w:val="6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Учреждения культуры и искусства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977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мест</w:t>
            </w:r>
          </w:p>
        </w:tc>
        <w:tc>
          <w:tcPr>
            <w:tcW w:w="814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80</w:t>
            </w:r>
          </w:p>
        </w:tc>
        <w:tc>
          <w:tcPr>
            <w:tcW w:w="69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300</w:t>
            </w: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100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125</w:t>
            </w:r>
          </w:p>
        </w:tc>
      </w:tr>
      <w:tr w:rsidR="00FD4585" w:rsidRPr="00FD4585" w:rsidTr="00EA428D">
        <w:tc>
          <w:tcPr>
            <w:tcW w:w="246" w:type="pct"/>
            <w:shd w:val="clear" w:color="auto" w:fill="auto"/>
            <w:noWrap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Городские массовые библиотеки</w:t>
            </w:r>
          </w:p>
        </w:tc>
        <w:tc>
          <w:tcPr>
            <w:tcW w:w="977" w:type="pct"/>
            <w:shd w:val="clear" w:color="auto" w:fill="auto"/>
          </w:tcPr>
          <w:p w:rsidR="00FD4585" w:rsidRPr="00FD4585" w:rsidRDefault="00FD4585" w:rsidP="00FD4585">
            <w:pPr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тыс. ед. хранения</w:t>
            </w:r>
          </w:p>
        </w:tc>
        <w:tc>
          <w:tcPr>
            <w:tcW w:w="814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4,5-7,5</w:t>
            </w:r>
          </w:p>
        </w:tc>
        <w:tc>
          <w:tcPr>
            <w:tcW w:w="69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25</w:t>
            </w:r>
          </w:p>
        </w:tc>
        <w:tc>
          <w:tcPr>
            <w:tcW w:w="341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8,4</w:t>
            </w:r>
          </w:p>
        </w:tc>
        <w:tc>
          <w:tcPr>
            <w:tcW w:w="589" w:type="pc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2"/>
                <w:szCs w:val="22"/>
              </w:rPr>
            </w:pPr>
            <w:r w:rsidRPr="00FD4585">
              <w:rPr>
                <w:sz w:val="22"/>
                <w:szCs w:val="22"/>
              </w:rPr>
              <w:t>112</w:t>
            </w:r>
          </w:p>
        </w:tc>
      </w:tr>
    </w:tbl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 xml:space="preserve">2.3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  с учетом объема планируемого жилищного строительства в соответствии с </w:t>
      </w:r>
      <w:proofErr w:type="gramStart"/>
      <w:r w:rsidRPr="00FD4585">
        <w:rPr>
          <w:b/>
        </w:rPr>
        <w:t>выданными</w:t>
      </w:r>
      <w:proofErr w:type="gramEnd"/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>разрешениями на строительство и прогнозируемого выбытия из эксплуатации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>объектов социальной инфраструктуры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  <w:r w:rsidRPr="00FD4585">
        <w:t>В условиях миграционного оттока и сохранения естественной убыли населения, в условиях развития экономической базы, ожидается незначительное увеличение численности населения (на 4%). На 2032 год  его численность составит 3099 чел.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right"/>
        <w:outlineLvl w:val="2"/>
      </w:pPr>
      <w:r w:rsidRPr="00FD4585">
        <w:t>Табл. 3 Статистика изменения численности поселения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929"/>
      </w:tblGrid>
      <w:tr w:rsidR="00FD4585" w:rsidRPr="00FD4585" w:rsidTr="00EA428D">
        <w:tc>
          <w:tcPr>
            <w:tcW w:w="3085" w:type="dxa"/>
            <w:vMerge w:val="restar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bCs/>
                <w:sz w:val="20"/>
                <w:szCs w:val="20"/>
              </w:rPr>
            </w:pPr>
            <w:r w:rsidRPr="00FD4585">
              <w:rPr>
                <w:bCs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bCs/>
                <w:sz w:val="20"/>
                <w:szCs w:val="20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Прогноз</w:t>
            </w:r>
          </w:p>
        </w:tc>
      </w:tr>
      <w:tr w:rsidR="00FD4585" w:rsidRPr="00FD4585" w:rsidTr="00EA428D">
        <w:tc>
          <w:tcPr>
            <w:tcW w:w="3085" w:type="dxa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bCs/>
                <w:sz w:val="20"/>
                <w:szCs w:val="20"/>
              </w:rPr>
            </w:pPr>
            <w:r w:rsidRPr="00FD4585">
              <w:rPr>
                <w:bCs/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bCs/>
                <w:sz w:val="20"/>
                <w:szCs w:val="20"/>
              </w:rPr>
            </w:pPr>
            <w:r w:rsidRPr="00FD4585"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bCs/>
                <w:sz w:val="20"/>
                <w:szCs w:val="20"/>
              </w:rPr>
            </w:pPr>
            <w:r w:rsidRPr="00FD4585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bCs/>
                <w:sz w:val="20"/>
                <w:szCs w:val="20"/>
              </w:rPr>
            </w:pPr>
            <w:r w:rsidRPr="00FD4585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bCs/>
                <w:sz w:val="20"/>
                <w:szCs w:val="20"/>
              </w:rPr>
            </w:pPr>
            <w:r w:rsidRPr="00FD4585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bCs/>
                <w:sz w:val="20"/>
                <w:szCs w:val="20"/>
              </w:rPr>
            </w:pPr>
            <w:r w:rsidRPr="00FD4585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bCs/>
                <w:sz w:val="20"/>
                <w:szCs w:val="20"/>
              </w:rPr>
            </w:pPr>
            <w:r w:rsidRPr="00FD4585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2032</w:t>
            </w: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Численность постоянного населения на начало года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3128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3114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3108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3091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3056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3022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3003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2999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2991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2980</w:t>
            </w:r>
          </w:p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3099</w:t>
            </w: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Родилось чел.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Рождаемость (на 1000 жит.)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11,6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12,9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15,5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14,9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15,3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7,4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13,8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Умерло чел.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Смертность (на 1000 жит.)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20,8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24,1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20,3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20,7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16,7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18,7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Естественный прирост (убыль) чел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-31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-39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-23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-32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Естественный прирост (убыль) на 1000 жит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-12,5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-7,4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-5,2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-5,6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-3,3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-1,3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-10,7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-3,4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Прибыло чел.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Выбыло чел.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Механический прирост (убыль) чел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-29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Прирост (убыль) чел.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-35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-34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3085" w:type="dxa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Прирост (убыль) (на 1000 жит.) чел.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-4,5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-1,9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-5,4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-11,3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-11,1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-6,3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-1,3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-3,7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  <w:r w:rsidRPr="00FD4585">
        <w:t xml:space="preserve">Учитывая незначительное увеличение численности населения на расчетный срок (около 4%), а также, что выбытие объектов социальной структуры на период до 2032 года не ожидается, увеличение спроса на услуги социальной инфраструктуры в областях образования, здравоохранения, физической культуры и массового спорта и культуры не произойдет. 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>2.4 Оценка нормативно-правовой базы, необходимой для функционирования и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>развития социальной инфраструктуры поселения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</w:pPr>
      <w:r w:rsidRPr="00FD4585">
        <w:t xml:space="preserve"> -  Федеральный закон «Об общих принципах организации местного самоуправления в Российской Федерации» от 6 октября 2003 г. № 131-ФЗ;</w:t>
      </w:r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</w:pPr>
      <w:r w:rsidRPr="00FD4585">
        <w:t xml:space="preserve"> - Федеральный закон от 29.12 .2012 г. №273-ФЗ «Об образовании»;</w:t>
      </w:r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</w:pPr>
      <w:r w:rsidRPr="00FD4585">
        <w:t xml:space="preserve"> - Федеральный закон от 21.11.2011 г. №323-ФЗ «Об основах охраны здоровья граждан в российской Федерации»;</w:t>
      </w:r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</w:pPr>
      <w:r w:rsidRPr="00FD4585">
        <w:t xml:space="preserve"> - «Основы законодательства Российской Федерации о культуре» утверждены </w:t>
      </w:r>
      <w:proofErr w:type="gramStart"/>
      <w:r w:rsidRPr="00FD4585">
        <w:t>ВС</w:t>
      </w:r>
      <w:proofErr w:type="gramEnd"/>
      <w:r w:rsidRPr="00FD4585">
        <w:t xml:space="preserve"> РФ от 09.10.1992 №3612-1;</w:t>
      </w:r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  <w:rPr>
          <w:b/>
        </w:rPr>
      </w:pPr>
      <w:r w:rsidRPr="00FD4585">
        <w:t xml:space="preserve"> - Федеральный закон от 04.12.2007 г. №329-ФЗ «О физической культуре и спорте в Российской Федерации».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  <w:r w:rsidRPr="00FD4585">
        <w:t xml:space="preserve">Как видно из таблицы 2 поселение практически на 100%  обеспечено услугами социальной инфраструктуры в областях образования, здравоохранения, физической культуры и массового спорта и культуры, за исключением сферы здравоохранения. 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  <w:r w:rsidRPr="00FD4585">
        <w:t>Техническое состояние объектов социальной инфраструктуры удовлетворительное, некоторым объектам требуется капитальный ремонт. Перечень мероприятий по проектированию, строительству и реконструкции объектов социальной инфраструктуры представлен в таблице 4.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right"/>
        <w:outlineLvl w:val="2"/>
      </w:pPr>
      <w:r w:rsidRPr="00FD4585">
        <w:t xml:space="preserve">Табл. 4 Перечень мероприятий по проектированию, строительству и 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right"/>
        <w:outlineLvl w:val="2"/>
        <w:rPr>
          <w:b/>
        </w:rPr>
      </w:pPr>
      <w:r w:rsidRPr="00FD4585">
        <w:t>реконструкции объектов социальной инфраструктуры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706"/>
        <w:gridCol w:w="3319"/>
        <w:gridCol w:w="1821"/>
      </w:tblGrid>
      <w:tr w:rsidR="00FD4585" w:rsidRPr="00FD4585" w:rsidTr="00EA428D">
        <w:trPr>
          <w:jc w:val="center"/>
        </w:trPr>
        <w:tc>
          <w:tcPr>
            <w:tcW w:w="73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 xml:space="preserve">№ </w:t>
            </w:r>
            <w:proofErr w:type="spellStart"/>
            <w:proofErr w:type="gramStart"/>
            <w:r w:rsidRPr="00FD4585">
              <w:t>п</w:t>
            </w:r>
            <w:proofErr w:type="spellEnd"/>
            <w:proofErr w:type="gramEnd"/>
            <w:r w:rsidRPr="00FD4585">
              <w:t>/</w:t>
            </w:r>
            <w:proofErr w:type="spellStart"/>
            <w:r w:rsidRPr="00FD4585">
              <w:t>п</w:t>
            </w:r>
            <w:proofErr w:type="spellEnd"/>
          </w:p>
        </w:tc>
        <w:tc>
          <w:tcPr>
            <w:tcW w:w="370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Наименование объекта</w:t>
            </w:r>
          </w:p>
        </w:tc>
        <w:tc>
          <w:tcPr>
            <w:tcW w:w="331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Наименование мероприятия</w:t>
            </w:r>
          </w:p>
        </w:tc>
        <w:tc>
          <w:tcPr>
            <w:tcW w:w="1821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Период реализации</w:t>
            </w:r>
          </w:p>
        </w:tc>
      </w:tr>
      <w:tr w:rsidR="00FD4585" w:rsidRPr="00FD4585" w:rsidTr="00EA428D">
        <w:trPr>
          <w:jc w:val="center"/>
        </w:trPr>
        <w:tc>
          <w:tcPr>
            <w:tcW w:w="73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1</w:t>
            </w:r>
          </w:p>
        </w:tc>
        <w:tc>
          <w:tcPr>
            <w:tcW w:w="370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FD4585">
              <w:t>Шумская</w:t>
            </w:r>
            <w:proofErr w:type="spellEnd"/>
            <w:r w:rsidRPr="00FD4585">
              <w:t xml:space="preserve"> общеобразовательная школа</w:t>
            </w:r>
          </w:p>
        </w:tc>
        <w:tc>
          <w:tcPr>
            <w:tcW w:w="331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Текущий ремонт</w:t>
            </w:r>
          </w:p>
        </w:tc>
        <w:tc>
          <w:tcPr>
            <w:tcW w:w="1821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2022-2026</w:t>
            </w:r>
          </w:p>
        </w:tc>
      </w:tr>
      <w:tr w:rsidR="00FD4585" w:rsidRPr="00FD4585" w:rsidTr="00EA428D">
        <w:trPr>
          <w:jc w:val="center"/>
        </w:trPr>
        <w:tc>
          <w:tcPr>
            <w:tcW w:w="73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2</w:t>
            </w:r>
          </w:p>
        </w:tc>
        <w:tc>
          <w:tcPr>
            <w:tcW w:w="370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r w:rsidRPr="00FD4585">
              <w:t xml:space="preserve">Детский сад (ул. </w:t>
            </w:r>
            <w:proofErr w:type="gramStart"/>
            <w:r w:rsidRPr="00FD4585">
              <w:t>Советская</w:t>
            </w:r>
            <w:proofErr w:type="gramEnd"/>
            <w:r w:rsidRPr="00FD4585">
              <w:t>, 40)</w:t>
            </w:r>
          </w:p>
        </w:tc>
        <w:tc>
          <w:tcPr>
            <w:tcW w:w="331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Капитальный ремонт</w:t>
            </w:r>
          </w:p>
        </w:tc>
        <w:tc>
          <w:tcPr>
            <w:tcW w:w="1821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2022-2032</w:t>
            </w:r>
          </w:p>
        </w:tc>
      </w:tr>
      <w:tr w:rsidR="00FD4585" w:rsidRPr="00FD4585" w:rsidTr="00EA428D">
        <w:trPr>
          <w:jc w:val="center"/>
        </w:trPr>
        <w:tc>
          <w:tcPr>
            <w:tcW w:w="73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3</w:t>
            </w:r>
          </w:p>
        </w:tc>
        <w:tc>
          <w:tcPr>
            <w:tcW w:w="370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r w:rsidRPr="00FD4585">
              <w:t>Школа искусств</w:t>
            </w:r>
          </w:p>
        </w:tc>
        <w:tc>
          <w:tcPr>
            <w:tcW w:w="331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Капитальный ремонт</w:t>
            </w:r>
          </w:p>
        </w:tc>
        <w:tc>
          <w:tcPr>
            <w:tcW w:w="1821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2022-2032</w:t>
            </w:r>
          </w:p>
        </w:tc>
      </w:tr>
      <w:tr w:rsidR="00FD4585" w:rsidRPr="00FD4585" w:rsidTr="00EA428D">
        <w:trPr>
          <w:jc w:val="center"/>
        </w:trPr>
        <w:tc>
          <w:tcPr>
            <w:tcW w:w="73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4</w:t>
            </w:r>
          </w:p>
        </w:tc>
        <w:tc>
          <w:tcPr>
            <w:tcW w:w="370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r w:rsidRPr="00FD4585">
              <w:t>Спортзал</w:t>
            </w:r>
          </w:p>
        </w:tc>
        <w:tc>
          <w:tcPr>
            <w:tcW w:w="331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Текущий ремонт</w:t>
            </w:r>
          </w:p>
        </w:tc>
        <w:tc>
          <w:tcPr>
            <w:tcW w:w="1821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2022-2032</w:t>
            </w:r>
          </w:p>
        </w:tc>
      </w:tr>
      <w:tr w:rsidR="00FD4585" w:rsidRPr="00FD4585" w:rsidTr="00EA428D">
        <w:trPr>
          <w:jc w:val="center"/>
        </w:trPr>
        <w:tc>
          <w:tcPr>
            <w:tcW w:w="73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5</w:t>
            </w:r>
          </w:p>
        </w:tc>
        <w:tc>
          <w:tcPr>
            <w:tcW w:w="370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FD4585">
              <w:t>Шумская</w:t>
            </w:r>
            <w:proofErr w:type="spellEnd"/>
            <w:r w:rsidRPr="00FD4585">
              <w:t xml:space="preserve"> городская больница</w:t>
            </w:r>
          </w:p>
        </w:tc>
        <w:tc>
          <w:tcPr>
            <w:tcW w:w="331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 xml:space="preserve">Реконструкция </w:t>
            </w:r>
          </w:p>
        </w:tc>
        <w:tc>
          <w:tcPr>
            <w:tcW w:w="1821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2027-2032</w:t>
            </w:r>
          </w:p>
        </w:tc>
      </w:tr>
      <w:tr w:rsidR="00FD4585" w:rsidRPr="00FD4585" w:rsidTr="00EA428D">
        <w:trPr>
          <w:jc w:val="center"/>
        </w:trPr>
        <w:tc>
          <w:tcPr>
            <w:tcW w:w="73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6</w:t>
            </w:r>
          </w:p>
        </w:tc>
        <w:tc>
          <w:tcPr>
            <w:tcW w:w="370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r w:rsidRPr="00FD4585">
              <w:t>Учреждение культуры</w:t>
            </w:r>
          </w:p>
        </w:tc>
        <w:tc>
          <w:tcPr>
            <w:tcW w:w="331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Капитальный ремонт</w:t>
            </w:r>
          </w:p>
        </w:tc>
        <w:tc>
          <w:tcPr>
            <w:tcW w:w="1821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2022-2026</w:t>
            </w:r>
          </w:p>
        </w:tc>
      </w:tr>
    </w:tbl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 xml:space="preserve"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  <w:r w:rsidRPr="00FD4585">
        <w:t xml:space="preserve">В соответствии с Федеральным законом №131-ФЗ от 06.10.2003 года "Об общих принципах организации местного самоуправления в Российской Федерации" сфера образования и здравоохранения относятся к полномочиям муниципального района, </w:t>
      </w:r>
      <w:proofErr w:type="gramStart"/>
      <w:r w:rsidRPr="00FD4585">
        <w:t>следовательно</w:t>
      </w:r>
      <w:proofErr w:type="gramEnd"/>
      <w:r w:rsidRPr="00FD4585">
        <w:t xml:space="preserve"> финансирование мероприятий по таким объектам как </w:t>
      </w:r>
      <w:proofErr w:type="spellStart"/>
      <w:r w:rsidRPr="00FD4585">
        <w:t>Шумская</w:t>
      </w:r>
      <w:proofErr w:type="spellEnd"/>
      <w:r w:rsidRPr="00FD4585">
        <w:t xml:space="preserve"> общеобразовательная школа, школа искусств, детский сад, спортзал (собственность школы), </w:t>
      </w:r>
      <w:proofErr w:type="spellStart"/>
      <w:r w:rsidRPr="00FD4585">
        <w:t>Шумская</w:t>
      </w:r>
      <w:proofErr w:type="spellEnd"/>
      <w:r w:rsidRPr="00FD4585">
        <w:t xml:space="preserve"> городская больница осуществляется за счет средств муниципального образования «</w:t>
      </w:r>
      <w:proofErr w:type="spellStart"/>
      <w:r w:rsidRPr="00FD4585">
        <w:t>Нижнеудинский</w:t>
      </w:r>
      <w:proofErr w:type="spellEnd"/>
      <w:r w:rsidRPr="00FD4585">
        <w:t xml:space="preserve"> район» с привлечением средств областного и </w:t>
      </w:r>
      <w:proofErr w:type="gramStart"/>
      <w:r w:rsidRPr="00FD4585">
        <w:t>федерального</w:t>
      </w:r>
      <w:proofErr w:type="gramEnd"/>
      <w:r w:rsidRPr="00FD4585">
        <w:t xml:space="preserve"> бюджетов, а также внебюджетных источников. Финансирование мероприятий по объекту учреждения культуры осуществляется за счет средств местного бюджета с привлечением средств областного и федерального бюджетов, а также внебюджетных источников. Объемы и источники финансирования приведены в таблице 5. Объемы финансирования указаны в сравнении с проведенными мероприятиями по аналогичным объектам в Иркутской области. </w:t>
      </w:r>
      <w:r w:rsidRPr="00FD4585">
        <w:lastRenderedPageBreak/>
        <w:t>Объемы финансирования уточняются при разработке инвестиционных проектов конкретно по каждому объекту.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right"/>
        <w:outlineLvl w:val="2"/>
      </w:pPr>
      <w:r w:rsidRPr="00FD4585">
        <w:t>Табл. 5 Объемы и источники финансирования мероприятий по проектированию, строительству и реконструкции объектов социальной инфраструктуры поселения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439"/>
        <w:gridCol w:w="1830"/>
        <w:gridCol w:w="1986"/>
        <w:gridCol w:w="2928"/>
      </w:tblGrid>
      <w:tr w:rsidR="00FD4585" w:rsidRPr="00FD4585" w:rsidTr="00EA428D">
        <w:trPr>
          <w:jc w:val="center"/>
        </w:trPr>
        <w:tc>
          <w:tcPr>
            <w:tcW w:w="59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 xml:space="preserve">№ </w:t>
            </w:r>
            <w:proofErr w:type="spellStart"/>
            <w:proofErr w:type="gramStart"/>
            <w:r w:rsidRPr="00FD4585">
              <w:t>п</w:t>
            </w:r>
            <w:proofErr w:type="spellEnd"/>
            <w:proofErr w:type="gramEnd"/>
            <w:r w:rsidRPr="00FD4585">
              <w:t>/</w:t>
            </w:r>
            <w:proofErr w:type="spellStart"/>
            <w:r w:rsidRPr="00FD4585">
              <w:t>п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Наименование объекта</w:t>
            </w:r>
          </w:p>
        </w:tc>
        <w:tc>
          <w:tcPr>
            <w:tcW w:w="1830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Наименование мероприятия</w:t>
            </w: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 xml:space="preserve">Объем финансирования, тыс. руб. 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Источники финансирования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1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FD4585">
              <w:t>Шумская</w:t>
            </w:r>
            <w:proofErr w:type="spellEnd"/>
            <w:r w:rsidRPr="00FD4585">
              <w:t xml:space="preserve"> общеобразовательная школа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Текущий ремонт</w:t>
            </w: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14 000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Областной бюджет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439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30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3 000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Бюджет муниципального района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2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r w:rsidRPr="00FD4585">
              <w:t xml:space="preserve">Детский сад (ул. </w:t>
            </w:r>
            <w:proofErr w:type="gramStart"/>
            <w:r w:rsidRPr="00FD4585">
              <w:t>Советская</w:t>
            </w:r>
            <w:proofErr w:type="gramEnd"/>
            <w:r w:rsidRPr="00FD4585">
              <w:t>, 40)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Капитальный ремонт</w:t>
            </w: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12 350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r w:rsidRPr="00FD4585">
              <w:t>Областной бюджет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439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30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2 650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r w:rsidRPr="00FD4585">
              <w:t>Бюджет муниципального района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3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r w:rsidRPr="00FD4585">
              <w:t>Школа искусств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Капитальный ремонт</w:t>
            </w: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8 200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r w:rsidRPr="00FD4585">
              <w:t>Областной бюджет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439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30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1 800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r w:rsidRPr="00FD4585">
              <w:t>Бюджет муниципального района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4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r w:rsidRPr="00FD4585">
              <w:t>Спортзал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Текущий ремонт</w:t>
            </w: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9 850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r w:rsidRPr="00FD4585">
              <w:t>Областной бюджет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439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30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2 150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r w:rsidRPr="00FD4585">
              <w:t>Бюджет муниципального района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5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FD4585">
              <w:t>Шумская</w:t>
            </w:r>
            <w:proofErr w:type="spellEnd"/>
            <w:r w:rsidRPr="00FD4585">
              <w:t xml:space="preserve"> городская больница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Капитальный ремонт</w:t>
            </w: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18 950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r w:rsidRPr="00FD4585">
              <w:t>Областной бюджет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439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30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4 050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r w:rsidRPr="00FD4585">
              <w:t>Бюджет муниципального района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6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r w:rsidRPr="00FD4585">
              <w:t>Учреждение культуры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  <w:r w:rsidRPr="00FD4585">
              <w:t>Капитальный ремонт</w:t>
            </w: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18 950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Областной бюджет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439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30" w:type="dxa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1 050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Местный бюджет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43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r w:rsidRPr="00FD4585">
              <w:t>ИТОГО</w:t>
            </w:r>
          </w:p>
        </w:tc>
        <w:tc>
          <w:tcPr>
            <w:tcW w:w="1830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82 300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r w:rsidRPr="00FD4585">
              <w:t>Областной бюджет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43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30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13 650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r w:rsidRPr="00FD4585">
              <w:t>Бюджет муниципального района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43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30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1 050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r w:rsidRPr="00FD4585">
              <w:t>Местный бюджет</w:t>
            </w:r>
          </w:p>
        </w:tc>
      </w:tr>
      <w:tr w:rsidR="00FD4585" w:rsidRPr="00FD4585" w:rsidTr="00EA428D">
        <w:trPr>
          <w:jc w:val="center"/>
        </w:trPr>
        <w:tc>
          <w:tcPr>
            <w:tcW w:w="598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439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</w:pPr>
            <w:r w:rsidRPr="00FD4585">
              <w:t>ВСЕГО</w:t>
            </w:r>
          </w:p>
        </w:tc>
        <w:tc>
          <w:tcPr>
            <w:tcW w:w="1830" w:type="dxa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6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  <w:r w:rsidRPr="00FD4585">
              <w:t>97 000</w:t>
            </w:r>
          </w:p>
        </w:tc>
        <w:tc>
          <w:tcPr>
            <w:tcW w:w="2928" w:type="dxa"/>
            <w:shd w:val="clear" w:color="auto" w:fill="auto"/>
          </w:tcPr>
          <w:p w:rsidR="00FD4585" w:rsidRPr="00FD4585" w:rsidRDefault="00FD4585" w:rsidP="00FD4585">
            <w:pPr>
              <w:jc w:val="center"/>
            </w:pPr>
          </w:p>
        </w:tc>
      </w:tr>
    </w:tbl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>5. ЦЕЛЕВЫЕ ИНДИКАТОРЫ ПРОГРАММЫ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  <w:r w:rsidRPr="00FD4585">
        <w:t>К целевым индикаторам программы относятся такие показатели как обеспеченность населения поселения услугами социальной инфраструктуры в областях образования, здравоохранения, физической культуры и массового спорта и культуры, состояние (процент износа) объектов социальной инфраструктуры. Целевые индикаторы по годам реализации Программы приведены в таблице 6.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right"/>
        <w:outlineLvl w:val="2"/>
      </w:pPr>
      <w:r w:rsidRPr="00FD4585">
        <w:t>Табл. 6 Целевые индикаторы программы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right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322"/>
        <w:gridCol w:w="1287"/>
        <w:gridCol w:w="1043"/>
        <w:gridCol w:w="619"/>
        <w:gridCol w:w="619"/>
        <w:gridCol w:w="619"/>
        <w:gridCol w:w="619"/>
        <w:gridCol w:w="619"/>
        <w:gridCol w:w="698"/>
        <w:gridCol w:w="698"/>
      </w:tblGrid>
      <w:tr w:rsidR="00FD4585" w:rsidRPr="00FD4585" w:rsidTr="00EA428D"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58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585">
              <w:rPr>
                <w:sz w:val="20"/>
                <w:szCs w:val="20"/>
              </w:rPr>
              <w:t>/</w:t>
            </w:r>
            <w:proofErr w:type="spellStart"/>
            <w:r w:rsidRPr="00FD458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 xml:space="preserve">Ед. </w:t>
            </w:r>
            <w:proofErr w:type="spellStart"/>
            <w:r w:rsidRPr="00FD4585">
              <w:rPr>
                <w:sz w:val="20"/>
                <w:szCs w:val="20"/>
              </w:rPr>
              <w:t>изм</w:t>
            </w:r>
            <w:proofErr w:type="spellEnd"/>
            <w:r w:rsidRPr="00FD458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Базовое значение на 2015 г.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Плановые значения по годам реализации</w:t>
            </w:r>
          </w:p>
        </w:tc>
      </w:tr>
      <w:tr w:rsidR="00FD4585" w:rsidRPr="00FD4585" w:rsidTr="00EA428D"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2022-2026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2027-2032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D4585">
              <w:rPr>
                <w:b/>
                <w:sz w:val="20"/>
                <w:szCs w:val="20"/>
              </w:rPr>
              <w:t>Процент износа объекта социальной инфраструктуры: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 xml:space="preserve">Детский сад (ул. </w:t>
            </w:r>
            <w:proofErr w:type="gramStart"/>
            <w:r w:rsidRPr="00FD4585">
              <w:rPr>
                <w:sz w:val="20"/>
                <w:szCs w:val="20"/>
              </w:rPr>
              <w:t>Советская</w:t>
            </w:r>
            <w:proofErr w:type="gramEnd"/>
            <w:r w:rsidRPr="00FD4585">
              <w:rPr>
                <w:sz w:val="20"/>
                <w:szCs w:val="20"/>
              </w:rPr>
              <w:t>, 40)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</w:tr>
      <w:tr w:rsidR="00FD4585" w:rsidRPr="00FD4585" w:rsidTr="00EA428D"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 xml:space="preserve">Детский сад (ул. </w:t>
            </w:r>
            <w:proofErr w:type="gramStart"/>
            <w:r w:rsidRPr="00FD4585">
              <w:rPr>
                <w:sz w:val="20"/>
                <w:szCs w:val="20"/>
              </w:rPr>
              <w:t>Советская</w:t>
            </w:r>
            <w:proofErr w:type="gramEnd"/>
            <w:r w:rsidRPr="00FD4585">
              <w:rPr>
                <w:sz w:val="20"/>
                <w:szCs w:val="20"/>
              </w:rPr>
              <w:t>, 28а)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  <w:lang w:val="en-US"/>
              </w:rPr>
              <w:t>20</w:t>
            </w:r>
            <w:r w:rsidRPr="00FD4585">
              <w:rPr>
                <w:sz w:val="20"/>
                <w:szCs w:val="20"/>
              </w:rPr>
              <w:t>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</w:rPr>
            </w:pPr>
            <w:r w:rsidRPr="00FD4585">
              <w:rPr>
                <w:sz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</w:rPr>
            </w:pPr>
            <w:r w:rsidRPr="00FD4585">
              <w:rPr>
                <w:sz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</w:rPr>
            </w:pPr>
            <w:r w:rsidRPr="00FD4585">
              <w:rPr>
                <w:sz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</w:rPr>
            </w:pPr>
            <w:r w:rsidRPr="00FD4585">
              <w:rPr>
                <w:sz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</w:rPr>
            </w:pPr>
            <w:r w:rsidRPr="00FD4585">
              <w:rPr>
                <w:sz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lang w:val="en-US"/>
              </w:rPr>
            </w:pPr>
            <w:r w:rsidRPr="00FD4585">
              <w:rPr>
                <w:sz w:val="20"/>
              </w:rPr>
              <w:t xml:space="preserve"> 25-30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</w:rPr>
            </w:pPr>
            <w:r w:rsidRPr="00FD4585">
              <w:rPr>
                <w:sz w:val="20"/>
              </w:rPr>
              <w:t>25-30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Учреждения дополнительного обр. (10% общего количества школьников)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  <w:lang w:val="en-US"/>
              </w:rPr>
              <w:t xml:space="preserve">&gt; </w:t>
            </w:r>
            <w:r w:rsidRPr="00FD458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  <w:lang w:val="en-US"/>
              </w:rPr>
              <w:t>&gt;</w:t>
            </w:r>
            <w:r w:rsidRPr="00FD4585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  <w:lang w:val="en-US"/>
              </w:rPr>
              <w:t xml:space="preserve">&gt; </w:t>
            </w:r>
            <w:r w:rsidRPr="00FD458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  <w:lang w:val="en-US"/>
              </w:rPr>
              <w:t>&gt;</w:t>
            </w:r>
            <w:r w:rsidRPr="00FD4585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  <w:lang w:val="en-US"/>
              </w:rPr>
              <w:t>&gt;</w:t>
            </w:r>
            <w:r w:rsidRPr="00FD4585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  <w:lang w:val="en-US"/>
              </w:rPr>
              <w:t xml:space="preserve">&gt; </w:t>
            </w:r>
            <w:r w:rsidRPr="00FD458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Стационары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</w:p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Поликлиники, амбулатории</w:t>
            </w: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Станции скорой помощи</w:t>
            </w: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Аптеки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45-50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45-50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45-50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45-50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45-50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45-50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50-55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55-60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25-30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Территория спортивных сооружений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-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Клубные учреждения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50-55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50-55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50-55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50-55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50-55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50-55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30-35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35-40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Городские массовые библиотеки</w:t>
            </w: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D4585">
              <w:rPr>
                <w:b/>
                <w:sz w:val="20"/>
                <w:szCs w:val="20"/>
              </w:rPr>
              <w:t xml:space="preserve">Обеспеченность услугами социальной инфраструктуры 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186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495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495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Учреждения дополнительного обр. (10% общего количества школьников)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50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Стационары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Койка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41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Поликлиники, амбулатории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FD4585">
              <w:rPr>
                <w:sz w:val="20"/>
                <w:szCs w:val="20"/>
              </w:rPr>
              <w:t>Посещ</w:t>
            </w:r>
            <w:proofErr w:type="spellEnd"/>
            <w:r w:rsidRPr="00FD4585">
              <w:rPr>
                <w:sz w:val="20"/>
                <w:szCs w:val="20"/>
              </w:rPr>
              <w:t>. В смену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57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Станции скорой помощи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Аптеки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1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М</w:t>
            </w:r>
            <w:proofErr w:type="gramStart"/>
            <w:r w:rsidRPr="00FD458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600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Территория спортивных сооружений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gramStart"/>
            <w:r w:rsidRPr="00FD4585">
              <w:rPr>
                <w:sz w:val="20"/>
                <w:szCs w:val="20"/>
              </w:rPr>
              <w:t>Га</w:t>
            </w:r>
            <w:proofErr w:type="gramEnd"/>
            <w:r w:rsidRPr="00FD4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4,5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Клубные учреждения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300</w:t>
            </w:r>
          </w:p>
        </w:tc>
      </w:tr>
      <w:tr w:rsidR="00FD4585" w:rsidRPr="00FD4585" w:rsidTr="00EA428D"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2.11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Городские массовые библиотеки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 xml:space="preserve">Тыс. ед. хранения 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D4585" w:rsidRPr="00FD4585" w:rsidRDefault="00FD4585" w:rsidP="00FD4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D4585">
              <w:rPr>
                <w:sz w:val="20"/>
                <w:szCs w:val="20"/>
              </w:rPr>
              <w:t>25</w:t>
            </w:r>
          </w:p>
        </w:tc>
      </w:tr>
    </w:tbl>
    <w:p w:rsidR="00FD4585" w:rsidRPr="00FD4585" w:rsidRDefault="00FD4585" w:rsidP="00FD4585">
      <w:pPr>
        <w:autoSpaceDE w:val="0"/>
        <w:autoSpaceDN w:val="0"/>
        <w:adjustRightInd w:val="0"/>
        <w:ind w:firstLine="709"/>
        <w:jc w:val="center"/>
        <w:outlineLvl w:val="2"/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>6. ОЦЕНКА ЭФФЕКТИВНОСТИ МЕРОПРИЯТИЙ, ВКЛЮЧЕННЫХ В ПРОГРАММУ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FD4585">
        <w:t>В результате выполнения мероприятий Программы ожидается увеличение обеспечения населения Шумского городского поселения социальными услугами в областях образования, здравоохранения, физической культуры и массового спорта и культуры до 100% в соответствии с нормативами градостроительного проектирования.</w:t>
      </w: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D4585" w:rsidRPr="00FD4585" w:rsidRDefault="00FD4585" w:rsidP="00FD458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D4585">
        <w:rPr>
          <w:b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  <w:r w:rsidRPr="00FD4585">
        <w:t xml:space="preserve">В 90-х годах XX века начался заметный рост законодательной деятельности и активная эволюция законодательства, в том числе и в области социальных услуг. </w:t>
      </w:r>
      <w:proofErr w:type="gramStart"/>
      <w:r w:rsidRPr="00FD4585">
        <w:t>Но</w:t>
      </w:r>
      <w:proofErr w:type="gramEnd"/>
      <w:r w:rsidRPr="00FD4585">
        <w:t xml:space="preserve"> несмотря на положительные тенденции, нельзя не отметить возникшие проблемы, которые не позволяют считать отечественную нормативно-правовую базу оптимальной, соответствующей требованиям международных договоров и соглашений. К основным </w:t>
      </w:r>
      <w:r w:rsidRPr="00FD4585">
        <w:lastRenderedPageBreak/>
        <w:t>организационно-правовым проблемам совершенствования нормативно-правового обеспечения могут быть отнесены:</w:t>
      </w:r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</w:pPr>
      <w:r w:rsidRPr="00FD4585">
        <w:t>- отсутствие продуманной, научно обоснованной концепции совершенствования и развития юридической регламентации социальной сферы;</w:t>
      </w:r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</w:pPr>
      <w:r w:rsidRPr="00FD4585">
        <w:t>- несовершенство действующих законов о здравоохранении, образовании, культуре и спорте, новых редакций Уголовного и Гражданского и других кодексов РФ;</w:t>
      </w:r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</w:pPr>
      <w:r w:rsidRPr="00FD4585">
        <w:t>- наличие законодательных коллизий;</w:t>
      </w:r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</w:pPr>
      <w:proofErr w:type="gramStart"/>
      <w:r w:rsidRPr="00FD4585">
        <w:t>- определенные противоречия федерального и регионального законодательств.</w:t>
      </w:r>
      <w:proofErr w:type="gramEnd"/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  <w:r w:rsidRPr="00FD4585">
        <w:t xml:space="preserve">В качестве основной тенденции законотворческого процесса современной России, необходимо отметить интеграцию России в мировое демократическое сообщество. 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FD4585">
        <w:t>В числе основных проблем современной законодательной регламентации могут быть отмечены следующие:</w:t>
      </w:r>
      <w:proofErr w:type="gramEnd"/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</w:pPr>
      <w:r w:rsidRPr="00FD4585">
        <w:t xml:space="preserve"> - недостаточное внимание законодателя к проблемам правовой регламентации социальной сферы; </w:t>
      </w:r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</w:pPr>
      <w:r w:rsidRPr="00FD4585">
        <w:t xml:space="preserve"> - неустойчивость основных социально-экономических показателей Российской Федерации, свойственная 90-м годам прошлого века, уже не может служить аргументом в современных условиях, поскольку в последние годы достигнута не только стабилизация, но отмечен устойчивый рост экономики Российской Федерации; </w:t>
      </w:r>
    </w:p>
    <w:p w:rsidR="00FD4585" w:rsidRPr="00FD4585" w:rsidRDefault="00FD4585" w:rsidP="00FD4585">
      <w:pPr>
        <w:autoSpaceDE w:val="0"/>
        <w:autoSpaceDN w:val="0"/>
        <w:adjustRightInd w:val="0"/>
        <w:jc w:val="both"/>
        <w:outlineLvl w:val="2"/>
      </w:pPr>
      <w:r w:rsidRPr="00FD4585">
        <w:t xml:space="preserve"> - разобщенность между представителями правовой науки по проблемам формирования адекватной нормативно-правовой базы.</w:t>
      </w:r>
    </w:p>
    <w:p w:rsidR="00EA4C5A" w:rsidRDefault="00EA4C5A" w:rsidP="00867B09">
      <w:pPr>
        <w:jc w:val="both"/>
        <w:rPr>
          <w:b/>
          <w:bCs/>
        </w:rPr>
      </w:pPr>
    </w:p>
    <w:p w:rsidR="003E1282" w:rsidRDefault="003E1282" w:rsidP="00867B09">
      <w:pPr>
        <w:jc w:val="both"/>
      </w:pPr>
    </w:p>
    <w:p w:rsidR="00776E9C" w:rsidRDefault="00776E9C" w:rsidP="00867B09">
      <w:pPr>
        <w:pStyle w:val="a5"/>
        <w:spacing w:before="0" w:beforeAutospacing="0" w:after="0" w:afterAutospacing="0"/>
        <w:jc w:val="right"/>
      </w:pPr>
    </w:p>
    <w:p w:rsidR="00F80187" w:rsidRDefault="00F80187" w:rsidP="00867B09">
      <w:pPr>
        <w:pStyle w:val="a5"/>
        <w:spacing w:before="0" w:beforeAutospacing="0" w:after="0" w:afterAutospacing="0"/>
        <w:jc w:val="right"/>
      </w:pPr>
    </w:p>
    <w:p w:rsidR="00776E9C" w:rsidRDefault="0026506D" w:rsidP="0026506D">
      <w:pPr>
        <w:pStyle w:val="a5"/>
        <w:tabs>
          <w:tab w:val="left" w:pos="3060"/>
        </w:tabs>
        <w:spacing w:before="0" w:beforeAutospacing="0" w:after="0" w:afterAutospacing="0"/>
      </w:pPr>
      <w:r>
        <w:tab/>
      </w:r>
    </w:p>
    <w:p w:rsidR="0026506D" w:rsidRDefault="0026506D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26506D" w:rsidRDefault="0026506D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26506D" w:rsidRDefault="0026506D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26506D" w:rsidRDefault="0026506D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FD4585" w:rsidRDefault="00FD4585" w:rsidP="0026506D">
      <w:pPr>
        <w:pStyle w:val="a5"/>
        <w:tabs>
          <w:tab w:val="left" w:pos="3060"/>
        </w:tabs>
        <w:spacing w:before="0" w:beforeAutospacing="0" w:after="0" w:afterAutospacing="0"/>
      </w:pPr>
    </w:p>
    <w:p w:rsidR="0026506D" w:rsidRDefault="0026506D" w:rsidP="0026506D">
      <w:pPr>
        <w:pStyle w:val="a5"/>
        <w:tabs>
          <w:tab w:val="left" w:pos="3060"/>
        </w:tabs>
        <w:spacing w:before="0" w:beforeAutospacing="0" w:after="0" w:afterAutospacing="0"/>
      </w:pPr>
    </w:p>
    <w:sectPr w:rsidR="0026506D" w:rsidSect="00F16C6C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3602682"/>
    <w:multiLevelType w:val="hybridMultilevel"/>
    <w:tmpl w:val="29F4F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14E22"/>
    <w:multiLevelType w:val="hybridMultilevel"/>
    <w:tmpl w:val="7B9C8466"/>
    <w:lvl w:ilvl="0" w:tplc="5600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4D3F"/>
    <w:multiLevelType w:val="hybridMultilevel"/>
    <w:tmpl w:val="B034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C27A4"/>
    <w:multiLevelType w:val="hybridMultilevel"/>
    <w:tmpl w:val="02C47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87AC2"/>
    <w:multiLevelType w:val="hybridMultilevel"/>
    <w:tmpl w:val="866AFD36"/>
    <w:lvl w:ilvl="0" w:tplc="34B67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26EE7"/>
    <w:multiLevelType w:val="hybridMultilevel"/>
    <w:tmpl w:val="B070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B403B5"/>
    <w:multiLevelType w:val="hybridMultilevel"/>
    <w:tmpl w:val="9BFA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61BAF"/>
    <w:multiLevelType w:val="hybridMultilevel"/>
    <w:tmpl w:val="6738614A"/>
    <w:lvl w:ilvl="0" w:tplc="5600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176F6"/>
    <w:multiLevelType w:val="hybridMultilevel"/>
    <w:tmpl w:val="F6F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E176B"/>
    <w:multiLevelType w:val="hybridMultilevel"/>
    <w:tmpl w:val="25047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729B4"/>
    <w:multiLevelType w:val="hybridMultilevel"/>
    <w:tmpl w:val="2B8E55FC"/>
    <w:lvl w:ilvl="0" w:tplc="5600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21651"/>
    <w:multiLevelType w:val="hybridMultilevel"/>
    <w:tmpl w:val="915E3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03B7C"/>
    <w:multiLevelType w:val="hybridMultilevel"/>
    <w:tmpl w:val="7CB49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E4A34"/>
    <w:multiLevelType w:val="multilevel"/>
    <w:tmpl w:val="F34C3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62966619"/>
    <w:multiLevelType w:val="hybridMultilevel"/>
    <w:tmpl w:val="4C62C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CB0890"/>
    <w:multiLevelType w:val="hybridMultilevel"/>
    <w:tmpl w:val="62A4C84C"/>
    <w:lvl w:ilvl="0" w:tplc="4044DFD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15A21"/>
    <w:multiLevelType w:val="multilevel"/>
    <w:tmpl w:val="FF60B56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6EA50E20"/>
    <w:multiLevelType w:val="hybridMultilevel"/>
    <w:tmpl w:val="0AB07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EE49ED"/>
    <w:multiLevelType w:val="hybridMultilevel"/>
    <w:tmpl w:val="AE96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DF057B"/>
    <w:multiLevelType w:val="hybridMultilevel"/>
    <w:tmpl w:val="D550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20"/>
  </w:num>
  <w:num w:numId="7">
    <w:abstractNumId w:val="19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9"/>
  </w:num>
  <w:num w:numId="17">
    <w:abstractNumId w:val="7"/>
  </w:num>
  <w:num w:numId="18">
    <w:abstractNumId w:val="14"/>
  </w:num>
  <w:num w:numId="19">
    <w:abstractNumId w:val="17"/>
  </w:num>
  <w:num w:numId="20">
    <w:abstractNumId w:val="5"/>
  </w:num>
  <w:num w:numId="21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080F"/>
    <w:rsid w:val="0006080F"/>
    <w:rsid w:val="00082CCB"/>
    <w:rsid w:val="0009076B"/>
    <w:rsid w:val="00091FD4"/>
    <w:rsid w:val="000977C3"/>
    <w:rsid w:val="000C4B38"/>
    <w:rsid w:val="000C648A"/>
    <w:rsid w:val="000E1AB0"/>
    <w:rsid w:val="00103834"/>
    <w:rsid w:val="00112719"/>
    <w:rsid w:val="00114918"/>
    <w:rsid w:val="00122762"/>
    <w:rsid w:val="0012520D"/>
    <w:rsid w:val="0012528F"/>
    <w:rsid w:val="001472BF"/>
    <w:rsid w:val="00162BA0"/>
    <w:rsid w:val="0016596A"/>
    <w:rsid w:val="0018708A"/>
    <w:rsid w:val="001B6CBE"/>
    <w:rsid w:val="001C07D6"/>
    <w:rsid w:val="001C1291"/>
    <w:rsid w:val="001C16DF"/>
    <w:rsid w:val="001C1AE2"/>
    <w:rsid w:val="001C67D8"/>
    <w:rsid w:val="001D0EC0"/>
    <w:rsid w:val="001E4E47"/>
    <w:rsid w:val="00234D57"/>
    <w:rsid w:val="0023668A"/>
    <w:rsid w:val="0024572F"/>
    <w:rsid w:val="00250D48"/>
    <w:rsid w:val="00261AC2"/>
    <w:rsid w:val="0026506D"/>
    <w:rsid w:val="002B06B4"/>
    <w:rsid w:val="002C2041"/>
    <w:rsid w:val="002D16E2"/>
    <w:rsid w:val="002D5F15"/>
    <w:rsid w:val="00302ECF"/>
    <w:rsid w:val="0033421E"/>
    <w:rsid w:val="00367AEB"/>
    <w:rsid w:val="00367CFD"/>
    <w:rsid w:val="00370E45"/>
    <w:rsid w:val="0038463C"/>
    <w:rsid w:val="003A416B"/>
    <w:rsid w:val="003E03E6"/>
    <w:rsid w:val="003E1282"/>
    <w:rsid w:val="003E4062"/>
    <w:rsid w:val="0041539D"/>
    <w:rsid w:val="00426EC7"/>
    <w:rsid w:val="00432640"/>
    <w:rsid w:val="004336D1"/>
    <w:rsid w:val="004378F8"/>
    <w:rsid w:val="0044337E"/>
    <w:rsid w:val="0046508F"/>
    <w:rsid w:val="00474136"/>
    <w:rsid w:val="0049065F"/>
    <w:rsid w:val="0049563A"/>
    <w:rsid w:val="004969AF"/>
    <w:rsid w:val="004B694F"/>
    <w:rsid w:val="004C321D"/>
    <w:rsid w:val="004C6289"/>
    <w:rsid w:val="004D2121"/>
    <w:rsid w:val="00512D04"/>
    <w:rsid w:val="00514FB2"/>
    <w:rsid w:val="00533221"/>
    <w:rsid w:val="00550414"/>
    <w:rsid w:val="00555065"/>
    <w:rsid w:val="00561EC0"/>
    <w:rsid w:val="00596BBF"/>
    <w:rsid w:val="005A18A1"/>
    <w:rsid w:val="005B1E57"/>
    <w:rsid w:val="005E3097"/>
    <w:rsid w:val="00623253"/>
    <w:rsid w:val="006302CD"/>
    <w:rsid w:val="00645D56"/>
    <w:rsid w:val="0067347E"/>
    <w:rsid w:val="006768A6"/>
    <w:rsid w:val="006921DE"/>
    <w:rsid w:val="006928CD"/>
    <w:rsid w:val="006A1545"/>
    <w:rsid w:val="006D4A9A"/>
    <w:rsid w:val="006E2AB3"/>
    <w:rsid w:val="00736600"/>
    <w:rsid w:val="00744D30"/>
    <w:rsid w:val="00765B25"/>
    <w:rsid w:val="00776E9C"/>
    <w:rsid w:val="0079407D"/>
    <w:rsid w:val="007E02B0"/>
    <w:rsid w:val="007E13C2"/>
    <w:rsid w:val="007E2FE7"/>
    <w:rsid w:val="007E68CF"/>
    <w:rsid w:val="007F0800"/>
    <w:rsid w:val="00816992"/>
    <w:rsid w:val="00842E1B"/>
    <w:rsid w:val="00845768"/>
    <w:rsid w:val="00857A6F"/>
    <w:rsid w:val="00863569"/>
    <w:rsid w:val="00867B09"/>
    <w:rsid w:val="00880A5B"/>
    <w:rsid w:val="00885418"/>
    <w:rsid w:val="00885483"/>
    <w:rsid w:val="00886E39"/>
    <w:rsid w:val="00887BB8"/>
    <w:rsid w:val="0089138F"/>
    <w:rsid w:val="00897807"/>
    <w:rsid w:val="008B2F0C"/>
    <w:rsid w:val="00904077"/>
    <w:rsid w:val="00916167"/>
    <w:rsid w:val="00930191"/>
    <w:rsid w:val="00931807"/>
    <w:rsid w:val="009373F0"/>
    <w:rsid w:val="00937AF3"/>
    <w:rsid w:val="00942B7D"/>
    <w:rsid w:val="00945F38"/>
    <w:rsid w:val="00975821"/>
    <w:rsid w:val="009B204E"/>
    <w:rsid w:val="009D0A8A"/>
    <w:rsid w:val="009D0CB6"/>
    <w:rsid w:val="009D4391"/>
    <w:rsid w:val="00A02ECA"/>
    <w:rsid w:val="00A13E0A"/>
    <w:rsid w:val="00A159DC"/>
    <w:rsid w:val="00A23DE7"/>
    <w:rsid w:val="00A265BD"/>
    <w:rsid w:val="00A51A16"/>
    <w:rsid w:val="00A6091B"/>
    <w:rsid w:val="00A7298A"/>
    <w:rsid w:val="00AA6265"/>
    <w:rsid w:val="00AD02BA"/>
    <w:rsid w:val="00AF5984"/>
    <w:rsid w:val="00B32738"/>
    <w:rsid w:val="00B41767"/>
    <w:rsid w:val="00B429F2"/>
    <w:rsid w:val="00B451ED"/>
    <w:rsid w:val="00B56251"/>
    <w:rsid w:val="00B6637D"/>
    <w:rsid w:val="00B73DE0"/>
    <w:rsid w:val="00B87635"/>
    <w:rsid w:val="00BA0095"/>
    <w:rsid w:val="00BC4430"/>
    <w:rsid w:val="00BC5D51"/>
    <w:rsid w:val="00BC7272"/>
    <w:rsid w:val="00BD5787"/>
    <w:rsid w:val="00BF3561"/>
    <w:rsid w:val="00C014FD"/>
    <w:rsid w:val="00C16FA6"/>
    <w:rsid w:val="00C2437C"/>
    <w:rsid w:val="00C327BB"/>
    <w:rsid w:val="00C85709"/>
    <w:rsid w:val="00C8702B"/>
    <w:rsid w:val="00CA0B6D"/>
    <w:rsid w:val="00CA3D6F"/>
    <w:rsid w:val="00CC34F8"/>
    <w:rsid w:val="00D109A5"/>
    <w:rsid w:val="00D2223B"/>
    <w:rsid w:val="00D24857"/>
    <w:rsid w:val="00D253C2"/>
    <w:rsid w:val="00D27202"/>
    <w:rsid w:val="00D4433B"/>
    <w:rsid w:val="00D7590F"/>
    <w:rsid w:val="00DB3C50"/>
    <w:rsid w:val="00DE1865"/>
    <w:rsid w:val="00DE310F"/>
    <w:rsid w:val="00DF2B2E"/>
    <w:rsid w:val="00E36F31"/>
    <w:rsid w:val="00E42118"/>
    <w:rsid w:val="00E55BC0"/>
    <w:rsid w:val="00E65BE1"/>
    <w:rsid w:val="00E66668"/>
    <w:rsid w:val="00E70F88"/>
    <w:rsid w:val="00E85663"/>
    <w:rsid w:val="00E9066F"/>
    <w:rsid w:val="00E96004"/>
    <w:rsid w:val="00EA104E"/>
    <w:rsid w:val="00EA428D"/>
    <w:rsid w:val="00EA4C5A"/>
    <w:rsid w:val="00EF150D"/>
    <w:rsid w:val="00EF5C42"/>
    <w:rsid w:val="00EF7B66"/>
    <w:rsid w:val="00F06FD6"/>
    <w:rsid w:val="00F10D71"/>
    <w:rsid w:val="00F122C5"/>
    <w:rsid w:val="00F159EE"/>
    <w:rsid w:val="00F16C6C"/>
    <w:rsid w:val="00F343CE"/>
    <w:rsid w:val="00F356EF"/>
    <w:rsid w:val="00F44CB8"/>
    <w:rsid w:val="00F53088"/>
    <w:rsid w:val="00F80187"/>
    <w:rsid w:val="00F93761"/>
    <w:rsid w:val="00FC558A"/>
    <w:rsid w:val="00FC5A19"/>
    <w:rsid w:val="00FD4585"/>
    <w:rsid w:val="00FE2323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2BF"/>
    <w:rPr>
      <w:sz w:val="24"/>
      <w:szCs w:val="24"/>
    </w:rPr>
  </w:style>
  <w:style w:type="paragraph" w:styleId="1">
    <w:name w:val="heading 1"/>
    <w:basedOn w:val="a"/>
    <w:next w:val="a"/>
    <w:qFormat/>
    <w:rsid w:val="00FC5A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5A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3D effects 1"/>
    <w:basedOn w:val="a1"/>
    <w:rsid w:val="004D21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F5308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562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Theme"/>
    <w:basedOn w:val="a1"/>
    <w:rsid w:val="00C1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6080F"/>
    <w:pPr>
      <w:spacing w:before="100" w:beforeAutospacing="1" w:after="100" w:afterAutospacing="1"/>
    </w:pPr>
  </w:style>
  <w:style w:type="paragraph" w:styleId="a5">
    <w:name w:val="Normal (Web)"/>
    <w:basedOn w:val="a"/>
    <w:rsid w:val="0006080F"/>
    <w:pPr>
      <w:spacing w:before="100" w:beforeAutospacing="1" w:after="100" w:afterAutospacing="1"/>
    </w:pPr>
  </w:style>
  <w:style w:type="paragraph" w:customStyle="1" w:styleId="ConsPlusTitle">
    <w:name w:val="ConsPlusTitle"/>
    <w:rsid w:val="00BD57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BD5787"/>
    <w:rPr>
      <w:color w:val="0000FF"/>
      <w:u w:val="single"/>
    </w:rPr>
  </w:style>
  <w:style w:type="paragraph" w:styleId="a7">
    <w:name w:val="Document Map"/>
    <w:basedOn w:val="a"/>
    <w:semiHidden/>
    <w:rsid w:val="00FC5A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Title"/>
    <w:basedOn w:val="a"/>
    <w:qFormat/>
    <w:rsid w:val="00937A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ody Text"/>
    <w:basedOn w:val="a"/>
    <w:rsid w:val="00937AF3"/>
    <w:pPr>
      <w:spacing w:after="120"/>
    </w:pPr>
  </w:style>
  <w:style w:type="paragraph" w:styleId="aa">
    <w:name w:val="Subtitle"/>
    <w:basedOn w:val="a"/>
    <w:qFormat/>
    <w:rsid w:val="00937AF3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Body Text First Indent"/>
    <w:basedOn w:val="a9"/>
    <w:rsid w:val="00937AF3"/>
    <w:pPr>
      <w:ind w:firstLine="210"/>
    </w:pPr>
  </w:style>
  <w:style w:type="table" w:styleId="ac">
    <w:name w:val="Table Grid"/>
    <w:basedOn w:val="a1"/>
    <w:rsid w:val="0077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73DE0"/>
    <w:pPr>
      <w:spacing w:before="100" w:beforeAutospacing="1" w:after="100" w:afterAutospacing="1"/>
    </w:pPr>
  </w:style>
  <w:style w:type="character" w:styleId="ad">
    <w:name w:val="Strong"/>
    <w:qFormat/>
    <w:rsid w:val="00E55BC0"/>
    <w:rPr>
      <w:b/>
      <w:bCs/>
    </w:rPr>
  </w:style>
  <w:style w:type="paragraph" w:styleId="ae">
    <w:name w:val="header"/>
    <w:basedOn w:val="a"/>
    <w:link w:val="af"/>
    <w:rsid w:val="00A13E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13E0A"/>
    <w:rPr>
      <w:sz w:val="24"/>
      <w:szCs w:val="24"/>
      <w:lang w:val="ru-RU" w:eastAsia="ru-RU" w:bidi="ar-SA"/>
    </w:rPr>
  </w:style>
  <w:style w:type="paragraph" w:customStyle="1" w:styleId="consnonformat">
    <w:name w:val="consnonformat"/>
    <w:basedOn w:val="a"/>
    <w:rsid w:val="00A13E0A"/>
    <w:pPr>
      <w:spacing w:before="100" w:beforeAutospacing="1" w:after="100" w:afterAutospacing="1"/>
    </w:pPr>
  </w:style>
  <w:style w:type="character" w:customStyle="1" w:styleId="af0">
    <w:name w:val="Гипертекстовая ссылка"/>
    <w:rsid w:val="006E2AB3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rsid w:val="006E2AB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6E2AB3"/>
    <w:pPr>
      <w:spacing w:before="0"/>
    </w:pPr>
    <w:rPr>
      <w:i/>
      <w:iCs/>
    </w:rPr>
  </w:style>
  <w:style w:type="paragraph" w:customStyle="1" w:styleId="ConsPlusNormal0">
    <w:name w:val="ConsPlusNormal"/>
    <w:rsid w:val="00FD4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D4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D45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caption"/>
    <w:basedOn w:val="a"/>
    <w:next w:val="a"/>
    <w:qFormat/>
    <w:rsid w:val="00FD4585"/>
    <w:pPr>
      <w:jc w:val="center"/>
    </w:pPr>
    <w:rPr>
      <w:b/>
      <w:sz w:val="28"/>
      <w:szCs w:val="20"/>
    </w:rPr>
  </w:style>
  <w:style w:type="paragraph" w:customStyle="1" w:styleId="af4">
    <w:name w:val="Знак"/>
    <w:basedOn w:val="a"/>
    <w:rsid w:val="00FD4585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FD4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FD458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D4585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FD4585"/>
    <w:rPr>
      <w:rFonts w:ascii="Verdana" w:hAnsi="Verdana" w:cs="Verdana"/>
      <w:sz w:val="20"/>
      <w:szCs w:val="20"/>
      <w:lang w:val="en-US" w:eastAsia="en-US"/>
    </w:rPr>
  </w:style>
  <w:style w:type="character" w:styleId="af8">
    <w:name w:val="Emphasis"/>
    <w:qFormat/>
    <w:rsid w:val="00FD4585"/>
    <w:rPr>
      <w:i/>
      <w:iCs/>
    </w:rPr>
  </w:style>
  <w:style w:type="paragraph" w:styleId="af9">
    <w:name w:val="footer"/>
    <w:basedOn w:val="a"/>
    <w:link w:val="afa"/>
    <w:uiPriority w:val="99"/>
    <w:rsid w:val="00FD458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FD4585"/>
    <w:rPr>
      <w:sz w:val="24"/>
      <w:szCs w:val="24"/>
    </w:rPr>
  </w:style>
  <w:style w:type="paragraph" w:styleId="afb">
    <w:name w:val="No Spacing"/>
    <w:link w:val="afc"/>
    <w:uiPriority w:val="1"/>
    <w:qFormat/>
    <w:rsid w:val="00FD4585"/>
    <w:rPr>
      <w:rFonts w:ascii="Calibri" w:hAnsi="Calibri" w:cs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FD4585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3330504B9493B3556C7C1BFFFCAC037375B6F0D689FE30CC2ED79890FA42B4AEFEE16D5FBDk57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благоустройства муниципальных образований Ярославской области</vt:lpstr>
    </vt:vector>
  </TitlesOfParts>
  <Company>Home</Company>
  <LinksUpToDate>false</LinksUpToDate>
  <CharactersWithSpaces>21169</CharactersWithSpaces>
  <SharedDoc>false</SharedDoc>
  <HLinks>
    <vt:vector size="6" baseType="variant"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consultantplus://offline/ref=0A3330504B9493B3556C7C1BFFFCAC037375B6F0D689FE30CC2ED79890FA42B4AEFEE16D5FBDk579A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благоустройства муниципальных образований Ярославской области</dc:title>
  <dc:creator>User</dc:creator>
  <cp:lastModifiedBy>User Windows</cp:lastModifiedBy>
  <cp:revision>3</cp:revision>
  <cp:lastPrinted>2015-08-14T07:55:00Z</cp:lastPrinted>
  <dcterms:created xsi:type="dcterms:W3CDTF">2023-04-04T03:30:00Z</dcterms:created>
  <dcterms:modified xsi:type="dcterms:W3CDTF">2023-04-04T04:26:00Z</dcterms:modified>
</cp:coreProperties>
</file>